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9891" w:hAnchor="page" w:vAnchor="page" w:x="274" w:y="131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new or revised financial accounting standards provided pursuant to Section 13(a) of the Exchange Act. </w:t>
      </w: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</w:p>
    <w:p>
      <w:pPr>
        <w:pStyle w:val="Normal"/>
        <w:framePr w:w="13850" w:hAnchor="page" w:vAnchor="page" w:x="274" w:y="1297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If an emerging growth company, indicate by check mark if the registrant has elected not to use the extended transition period for complying with any</w:t>
      </w:r>
    </w:p>
    <w:p>
      <w:pPr>
        <w:pStyle w:val="Normal"/>
        <w:framePr w:w="2987" w:hAnchor="page" w:vAnchor="page" w:x="274" w:y="125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Emerging growth company </w:t>
      </w: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</w:p>
    <w:p>
      <w:pPr>
        <w:pStyle w:val="Normal"/>
        <w:framePr w:w="8633" w:hAnchor="page" w:vAnchor="page" w:x="274" w:y="120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chapter) or Rule 12b-2 of the Securities Exchange Act of 1934 (§240.12b-2 of this chapter).</w:t>
      </w:r>
    </w:p>
    <w:p>
      <w:pPr>
        <w:pStyle w:val="Normal"/>
        <w:framePr w:w="13847" w:hAnchor="page" w:vAnchor="page" w:x="274" w:y="1186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Indicate by check mark whether the registrant is an emerging growth company as defined in Rule 405 of the Securities Act of 1933 (§230.405 of this</w:t>
      </w:r>
    </w:p>
    <w:p>
      <w:pPr>
        <w:pStyle w:val="Normal"/>
        <w:framePr w:w="4037" w:hAnchor="page" w:vAnchor="page" w:x="1125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Common stock, $0.01 par value per share</w:t>
      </w:r>
    </w:p>
    <w:p>
      <w:pPr>
        <w:pStyle w:val="Normal"/>
        <w:framePr w:w="901" w:hAnchor="page" w:vAnchor="page" w:x="5897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SMMT</w:t>
      </w:r>
    </w:p>
    <w:p>
      <w:pPr>
        <w:pStyle w:val="Normal"/>
        <w:framePr w:w="3110" w:hAnchor="page" w:vAnchor="page" w:x="8450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The Nasdaq Stock Market LLC</w:t>
      </w:r>
    </w:p>
    <w:p>
      <w:pPr>
        <w:pStyle w:val="Normal"/>
        <w:framePr w:w="1966" w:hAnchor="page" w:vAnchor="page" w:x="1988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Title of Each Class</w:t>
      </w:r>
    </w:p>
    <w:p>
      <w:pPr>
        <w:pStyle w:val="Normal"/>
        <w:framePr w:w="1953" w:hAnchor="page" w:vAnchor="page" w:x="5459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Trading Symbol(s)</w:t>
      </w:r>
    </w:p>
    <w:p>
      <w:pPr>
        <w:pStyle w:val="Normal"/>
        <w:framePr w:w="4481" w:hAnchor="page" w:vAnchor="page" w:x="7879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Name of Each Exchange on Which Registered</w:t>
      </w:r>
    </w:p>
    <w:p>
      <w:pPr>
        <w:pStyle w:val="Normal"/>
        <w:framePr w:w="5497" w:hAnchor="page" w:vAnchor="page" w:x="274" w:y="1047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Securities registered pursuant to Section 12(b) of the Act:</w:t>
      </w:r>
    </w:p>
    <w:p>
      <w:pPr>
        <w:pStyle w:val="Normal"/>
        <w:framePr w:w="10762" w:hAnchor="page" w:vAnchor="page" w:x="274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Pre-commencement communications pursuant to Rule 13e-4(c) under the Exchange Act (17 CFR 240.13e-4(c)) </w:t>
      </w:r>
    </w:p>
    <w:p>
      <w:pPr>
        <w:pStyle w:val="Normal"/>
        <w:framePr w:w="10756" w:hAnchor="page" w:vAnchor="page" w:x="274" w:y="95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Pre-commencement communications pursuant to Rule 14d-2(b) under the Exchange Act (17 CFR 240.14d-2(b))</w:t>
      </w:r>
    </w:p>
    <w:p>
      <w:pPr>
        <w:pStyle w:val="Normal"/>
        <w:framePr w:w="8725" w:hAnchor="page" w:vAnchor="page" w:x="274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Soliciting material pursuant to Rule 14a-12 under the Exchange Act (17 CFR 240.14a-12)</w:t>
      </w:r>
    </w:p>
    <w:p>
      <w:pPr>
        <w:pStyle w:val="Normal"/>
        <w:framePr w:w="8703" w:hAnchor="page" w:vAnchor="page" w:x="274" w:y="87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Written communications pursuant to Rule 425 under the Securities Act (17 CFR 230.425)</w:t>
      </w:r>
    </w:p>
    <w:p>
      <w:pPr>
        <w:pStyle w:val="Normal"/>
        <w:framePr w:w="5586" w:hAnchor="page" w:vAnchor="page" w:x="274" w:y="827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following provisions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9"/>
          <w:szCs w:val="19"/>
        </w:rPr>
        <w:t>see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General Instruction A.2. below):</w:t>
      </w:r>
    </w:p>
    <w:p>
      <w:pPr>
        <w:pStyle w:val="Normal"/>
        <w:framePr w:w="13623" w:hAnchor="page" w:vAnchor="page" w:x="274" w:y="806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Check the appropriate box below if the Form 8-K filing is intended to simultaneously satisfy the filing obligation of the registrant under any of the</w:t>
      </w:r>
    </w:p>
    <w:p>
      <w:pPr>
        <w:pStyle w:val="Normal"/>
        <w:framePr w:w="6271" w:hAnchor="page" w:vAnchor="page" w:x="3652" w:y="75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(Former Name or Former Address, If Changed Since Last Report)</w:t>
      </w:r>
    </w:p>
    <w:p>
      <w:pPr>
        <w:pStyle w:val="Normal"/>
        <w:framePr w:w="1567" w:hAnchor="page" w:vAnchor="page" w:x="5612" w:y="72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Not applicable</w:t>
      </w:r>
    </w:p>
    <w:p>
      <w:pPr>
        <w:pStyle w:val="Normal"/>
        <w:framePr w:w="6703" w:hAnchor="page" w:vAnchor="page" w:x="3422" w:y="67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Registrant’s Telephone Number, Including Area Code: (650) 460-8308</w:t>
      </w:r>
    </w:p>
    <w:p>
      <w:pPr>
        <w:pStyle w:val="Normal"/>
        <w:framePr w:w="3956" w:hAnchor="page" w:vAnchor="page" w:x="2702" w:y="61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(Address of Principal Executive Offices)</w:t>
      </w:r>
    </w:p>
    <w:p>
      <w:pPr>
        <w:pStyle w:val="Normal"/>
        <w:framePr w:w="1237" w:hAnchor="page" w:vAnchor="page" w:x="9623" w:y="61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(Zip Code)</w:t>
      </w:r>
    </w:p>
    <w:p>
      <w:pPr>
        <w:pStyle w:val="Normal"/>
        <w:framePr w:w="4755" w:hAnchor="page" w:vAnchor="page" w:x="2369" w:y="58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2882 Sand Hill Road, Suite 106, Menlo Park, CA</w:t>
      </w:r>
    </w:p>
    <w:p>
      <w:pPr>
        <w:pStyle w:val="Normal"/>
        <w:framePr w:w="799" w:hAnchor="page" w:vAnchor="page" w:x="9806" w:y="58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94025</w:t>
      </w:r>
    </w:p>
    <w:p>
      <w:pPr>
        <w:pStyle w:val="Normal"/>
        <w:framePr w:w="1796" w:hAnchor="page" w:vAnchor="page" w:x="1694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of Incorporation)</w:t>
      </w:r>
    </w:p>
    <w:p>
      <w:pPr>
        <w:pStyle w:val="Normal"/>
        <w:framePr w:w="1466" w:hAnchor="page" w:vAnchor="page" w:x="5705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File Number)</w:t>
      </w:r>
    </w:p>
    <w:p>
      <w:pPr>
        <w:pStyle w:val="Normal"/>
        <w:framePr w:w="1929" w:hAnchor="page" w:vAnchor="page" w:x="9335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Identification No.)</w:t>
      </w:r>
    </w:p>
    <w:p>
      <w:pPr>
        <w:pStyle w:val="Normal"/>
        <w:framePr w:w="2710" w:hAnchor="page" w:vAnchor="page" w:x="1313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(State or Other Jurisdiction</w:t>
      </w:r>
    </w:p>
    <w:p>
      <w:pPr>
        <w:pStyle w:val="Normal"/>
        <w:framePr w:w="1460" w:hAnchor="page" w:vAnchor="page" w:x="5707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(Commission</w:t>
      </w:r>
    </w:p>
    <w:p>
      <w:pPr>
        <w:pStyle w:val="Normal"/>
        <w:framePr w:w="1618" w:hAnchor="page" w:vAnchor="page" w:x="9464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(IRS Employer</w:t>
      </w:r>
    </w:p>
    <w:p>
      <w:pPr>
        <w:pStyle w:val="Normal"/>
        <w:framePr w:w="1104" w:hAnchor="page" w:vAnchor="page" w:x="1982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Delaware</w:t>
      </w:r>
    </w:p>
    <w:p>
      <w:pPr>
        <w:pStyle w:val="Normal"/>
        <w:framePr w:w="1219" w:hAnchor="page" w:vAnchor="page" w:x="5808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001-36866</w:t>
      </w:r>
    </w:p>
    <w:p>
      <w:pPr>
        <w:pStyle w:val="Normal"/>
        <w:framePr w:w="1333" w:hAnchor="page" w:vAnchor="page" w:x="9583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37-1979717</w:t>
      </w:r>
    </w:p>
    <w:p>
      <w:pPr>
        <w:pStyle w:val="Normal"/>
        <w:framePr w:w="5179" w:hAnchor="page" w:vAnchor="page" w:x="4107" w:y="42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(Exact Name of Registrant as Specified in Its Charter)</w:t>
      </w:r>
    </w:p>
    <w:p>
      <w:pPr>
        <w:pStyle w:val="Normal"/>
        <w:framePr w:w="2596" w:hAnchor="page" w:vAnchor="page" w:x="5184" w:y="40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Summit Therapeutics Inc.</w:t>
      </w:r>
    </w:p>
    <w:p>
      <w:pPr>
        <w:pStyle w:val="Normal"/>
        <w:framePr w:w="6544" w:hAnchor="page" w:vAnchor="page" w:x="3488" w:y="35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Date of Report (Date of Earliest Event Reported): November 7, 2023</w:t>
      </w:r>
    </w:p>
    <w:p>
      <w:pPr>
        <w:pStyle w:val="Normal"/>
        <w:framePr w:w="7136" w:hAnchor="page" w:vAnchor="page" w:x="3242" w:y="305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Pursuant to Section 13 or 15(d) of The Securities Exchange Act of 1934</w:t>
      </w:r>
    </w:p>
    <w:p>
      <w:pPr>
        <w:pStyle w:val="Normal"/>
        <w:framePr w:w="2360" w:hAnchor="page" w:vAnchor="page" w:x="5232" w:y="284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CURRENT REPORT</w:t>
      </w:r>
    </w:p>
    <w:p>
      <w:pPr>
        <w:pStyle w:val="Normal"/>
        <w:framePr w:w="1351" w:hAnchor="page" w:vAnchor="page" w:x="5652" w:y="240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FORM 8-K</w:t>
      </w:r>
    </w:p>
    <w:p>
      <w:pPr>
        <w:pStyle w:val="Normal"/>
        <w:framePr w:w="2584" w:hAnchor="page" w:vAnchor="page" w:x="5138" w:y="197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Washington, D.C. 20549</w:t>
      </w:r>
    </w:p>
    <w:p>
      <w:pPr>
        <w:pStyle w:val="Normal"/>
        <w:framePr w:w="5150" w:hAnchor="page" w:vAnchor="page" w:x="4069" w:y="174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SECURITIES AND EXCHANGE COMMISSION</w:t>
      </w:r>
    </w:p>
    <w:p>
      <w:pPr>
        <w:pStyle w:val="Normal"/>
        <w:framePr w:w="2017" w:hAnchor="page" w:vAnchor="page" w:x="5375" w:y="152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UNITED STATES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2.7pt;margin-top:755.65pt;z-index:-16777208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2.7pt;margin-top:756.35pt;z-index:-1677720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55pt;margin-top:755.65pt;z-index:-16777200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2.7pt;margin-top:755.65pt;z-index:-16777196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365.4pt;margin-top:183.25pt;z-index:-16777192;width:73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405.75pt;margin-top:305.45pt;z-index:-16777188;width:193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18.45pt;margin-top:305.45pt;z-index:-16777184;width:389.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405.75pt;margin-top:252.55pt;z-index:-16777180;width:193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214.95pt;margin-top:252.55pt;z-index:-16777176;width:192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18.45pt;margin-top:252.55pt;z-index:-16777172;width:19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8.45pt;margin-top:211.1pt;z-index:-16777168;width:580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380.4pt;margin-top:344pt;z-index:-16777164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401pt;margin-top:344pt;z-index:-16777160;width:4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403.4pt;margin-top:344pt;z-index:-16777156;width:3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8.45pt;margin-top:371.9pt;z-index:-16777152;width:580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365.75pt;margin-top:574.85pt;z-index:-16777148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597.3pt;margin-top:560.55pt;z-index:-1677714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249.95pt;margin-top:574.85pt;z-index:-16777140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365.75pt;margin-top:560.55pt;z-index:-16777136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9.15pt;margin-top:574.85pt;z-index:-16777132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9.15pt;margin-top:560.55pt;z-index:-16777128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249.95pt;margin-top:560.55pt;z-index:-1677712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365.75pt;margin-top:546.25pt;z-index:-16777120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365.75pt;margin-top:560.55pt;z-index:-16777116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597.3pt;margin-top:546.25pt;z-index:-16777112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249.95pt;margin-top:546.25pt;z-index:-16777108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249.95pt;margin-top:560.55pt;z-index:-16777104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365.75pt;margin-top:546.25pt;z-index:-16777100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9.15pt;margin-top:546.25pt;z-index:-16777096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9.15pt;margin-top:560.55pt;z-index:-16777092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19.15pt;margin-top:546.25pt;z-index:-16777088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249.95pt;margin-top:546.25pt;z-index:-1677708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595.85pt;margin-top:546.25pt;z-index:-16777080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371.45pt;margin-top:546.25pt;z-index:-16777076;width:226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365.75pt;margin-top:546.25pt;z-index:-1677707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364.3pt;margin-top:546.25pt;z-index:-16777068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255.7pt;margin-top:546.25pt;z-index:-16777064;width:11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249.95pt;margin-top:546.25pt;z-index:-16777060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248.55pt;margin-top:546.25pt;z-index:-16777056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24.15pt;margin-top:546.25pt;z-index:-16777052;width:226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9.15pt;margin-top:546.25pt;z-index:-16777048;width: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</w:p>
    <w:p>
      <w:pPr>
        <w:pStyle w:val="Normal"/>
        <w:framePr w:w="571" w:hAnchor="page" w:vAnchor="page" w:x="1037" w:y="645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104</w:t>
      </w:r>
    </w:p>
    <w:p>
      <w:pPr>
        <w:pStyle w:val="Normal"/>
        <w:framePr w:w="7566" w:hAnchor="page" w:vAnchor="page" w:x="3595" w:y="645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Cover Page Interactive Data File (embedded within the Inline XBRL document)</w:t>
      </w:r>
    </w:p>
    <w:p>
      <w:pPr>
        <w:pStyle w:val="Normal"/>
        <w:framePr w:w="628" w:hAnchor="page" w:vAnchor="page" w:x="1037" w:y="61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9"/>
          <w:szCs w:val="19"/>
        </w:rPr>
        <w:t>99.1</w:t>
      </w:r>
    </w:p>
    <w:p>
      <w:pPr>
        <w:pStyle w:val="Normal"/>
        <w:framePr w:w="3853" w:hAnchor="page" w:vAnchor="page" w:x="3595" w:y="61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19"/>
          <w:szCs w:val="19"/>
        </w:rPr>
        <w:t>Press Release, dated November 7, 2023</w:t>
      </w:r>
    </w:p>
    <w:p>
      <w:pPr>
        <w:pStyle w:val="Normal"/>
        <w:framePr w:w="1822" w:hAnchor="page" w:vAnchor="page" w:x="1037" w:y="59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Exhibit Number</w:t>
      </w:r>
    </w:p>
    <w:p>
      <w:pPr>
        <w:pStyle w:val="Normal"/>
        <w:framePr w:w="1358" w:hAnchor="page" w:vAnchor="page" w:x="3595" w:y="59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Description</w:t>
      </w:r>
    </w:p>
    <w:p>
      <w:pPr>
        <w:pStyle w:val="Normal"/>
        <w:framePr w:w="1314" w:hAnchor="page" w:vAnchor="page" w:x="274" w:y="53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(d) Exhibits</w:t>
      </w:r>
    </w:p>
    <w:p>
      <w:pPr>
        <w:pStyle w:val="Normal"/>
        <w:framePr w:w="1142" w:hAnchor="page" w:vAnchor="page" w:x="293" w:y="48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Item 9.01</w:t>
      </w:r>
    </w:p>
    <w:p>
      <w:pPr>
        <w:pStyle w:val="Normal"/>
        <w:framePr w:w="3632" w:hAnchor="page" w:vAnchor="page" w:x="2080" w:y="48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Financial Statements and Exhibits.</w:t>
      </w:r>
    </w:p>
    <w:p>
      <w:pPr>
        <w:pStyle w:val="Normal"/>
        <w:framePr w:w="6531" w:hAnchor="page" w:vAnchor="page" w:x="274" w:y="40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Act, except as expressly set forth by specific reference in such filing.</w:t>
      </w:r>
    </w:p>
    <w:p>
      <w:pPr>
        <w:pStyle w:val="Normal"/>
        <w:framePr w:w="13952" w:hAnchor="page" w:vAnchor="page" w:x="274" w:y="37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liabilities of that section, nor shall it be deemed incorporated by reference in any filing under the Securities Act of 1933, as amended, or the Exchange</w:t>
      </w:r>
    </w:p>
    <w:p>
      <w:pPr>
        <w:pStyle w:val="Normal"/>
        <w:framePr w:w="13761" w:hAnchor="page" w:vAnchor="page" w:x="274" w:y="35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be deemed “filed” for purposes of Section 18 of the Securities Exchange Act of 1934, as amended (the “Exchange Act”), or otherwise subject to the</w:t>
      </w:r>
    </w:p>
    <w:p>
      <w:pPr>
        <w:pStyle w:val="Normal"/>
        <w:framePr w:w="13325" w:hAnchor="page" w:vAnchor="page" w:x="960" w:y="33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The information in this Item 2.02 of this Current Report on Form 8-K and Exhibit 99.1 attached hereto is intended to be furnished and shall not</w:t>
      </w:r>
    </w:p>
    <w:p>
      <w:pPr>
        <w:pStyle w:val="Normal"/>
        <w:framePr w:w="6950" w:hAnchor="page" w:vAnchor="page" w:x="274" w:y="28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is incorporated by reference into this Item 2.02 as if fully set forth herein.</w:t>
      </w:r>
    </w:p>
    <w:p>
      <w:pPr>
        <w:pStyle w:val="Normal"/>
        <w:framePr w:w="14194" w:hAnchor="page" w:vAnchor="page" w:x="274" w:y="26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progress for the third quarter ended September 30, 2023. A copy of the press release is furnished as Exhibit 99.1 to this Current Report on Form 8-K and</w:t>
      </w:r>
    </w:p>
    <w:p>
      <w:pPr>
        <w:pStyle w:val="Normal"/>
        <w:framePr w:w="12778" w:hAnchor="page" w:vAnchor="page" w:x="960" w:y="245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On November 7, 2023, Summit Therapeutics Inc. (the “Company”) issued a press release announcing its financial results and operational</w:t>
      </w:r>
    </w:p>
    <w:p>
      <w:pPr>
        <w:pStyle w:val="Normal"/>
        <w:framePr w:w="1142" w:hAnchor="page" w:vAnchor="page" w:x="293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Item 2.02</w:t>
      </w:r>
    </w:p>
    <w:p>
      <w:pPr>
        <w:pStyle w:val="Normal"/>
        <w:framePr w:w="4826" w:hAnchor="page" w:vAnchor="page" w:x="2080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Results of Operations and Financial Condition.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7pt;margin-top:1pt;z-index:-16777044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2.7pt;margin-top:439.05pt;z-index:-16777040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2.7pt;margin-top:439.8pt;z-index:-16777036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96.55pt;margin-top:439.05pt;z-index:-16777032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2.7pt;margin-top:439.05pt;z-index:-16777028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2.7pt;margin-top:84.6pt;z-index:-1677702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50.85pt;margin-top:304pt;z-index:-16777020;width:68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78.75pt;margin-top:304pt;z-index:-16777016;width:4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50.85pt;margin-top:317.6pt;z-index:-16777012;width:18.6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50.85pt;margin-top:317.6pt;z-index:-16777008;width:18.6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178.75pt;margin-top:317.6pt;z-index:-16777004;width:15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178.75pt;margin-top:317.6pt;z-index:-16777000;width:15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</w:p>
    <w:p>
      <w:pPr>
        <w:pStyle w:val="Normal"/>
        <w:framePr w:w="2826" w:hAnchor="page" w:vAnchor="page" w:x="6718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(Principal Financial Officer)</w:t>
      </w:r>
    </w:p>
    <w:p>
      <w:pPr>
        <w:pStyle w:val="Normal"/>
        <w:framePr w:w="2357" w:hAnchor="page" w:vAnchor="page" w:x="6718" w:y="37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Chief Financial Officer</w:t>
      </w:r>
    </w:p>
    <w:p>
      <w:pPr>
        <w:pStyle w:val="Normal"/>
        <w:framePr w:w="2488" w:hAnchor="page" w:vAnchor="page" w:x="472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Date: November 7, 2023</w:t>
      </w:r>
    </w:p>
    <w:p>
      <w:pPr>
        <w:pStyle w:val="Normal"/>
        <w:framePr w:w="558" w:hAnchor="page" w:vAnchor="page" w:x="5660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By:</w:t>
      </w:r>
    </w:p>
    <w:p>
      <w:pPr>
        <w:pStyle w:val="Normal"/>
        <w:framePr w:w="1891" w:hAnchor="page" w:vAnchor="page" w:x="6718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/s/ Ankur Dhingra</w:t>
      </w:r>
    </w:p>
    <w:p>
      <w:pPr>
        <w:pStyle w:val="Normal"/>
        <w:framePr w:w="3587" w:hAnchor="page" w:vAnchor="page" w:x="5660" w:y="26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SUMMIT THERAPEUTICS INC.</w:t>
      </w:r>
    </w:p>
    <w:p>
      <w:pPr>
        <w:pStyle w:val="Normal"/>
        <w:framePr w:w="3802" w:hAnchor="page" w:vAnchor="page" w:x="274" w:y="21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undersigned, hereunto duly authorized.</w:t>
      </w:r>
    </w:p>
    <w:p>
      <w:pPr>
        <w:pStyle w:val="Normal"/>
        <w:framePr w:w="13280" w:hAnchor="page" w:vAnchor="page" w:x="960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Pursuant to the requirements of the Securities Exchange Act of 1934, the registrant has duly caused this report to be signed on its behalf by the</w:t>
      </w:r>
    </w:p>
    <w:p>
      <w:pPr>
        <w:pStyle w:val="Normal"/>
        <w:framePr w:w="1570" w:hAnchor="page" w:vAnchor="page" w:x="5561" w:y="14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SIGNATURE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7pt;margin-top:1pt;z-index:-16776996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330.75pt;margin-top:182.5pt;z-index:-16776992;width:26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</w:p>
    <w:p>
      <w:pPr>
        <w:pStyle w:val="Normal"/>
        <w:framePr w:w="3887" w:hAnchor="page" w:vAnchor="page" w:x="3019" w:y="1258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following customary waiting periods.</w:t>
      </w:r>
    </w:p>
    <w:p>
      <w:pPr>
        <w:pStyle w:val="Normal"/>
        <w:framePr w:w="11372" w:hAnchor="page" w:vAnchor="page" w:x="2675" w:y="123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     The Collaboration and License Agreement with Akeso closed on January 17, 2023 after going effective</w:t>
      </w:r>
    </w:p>
    <w:p>
      <w:pPr>
        <w:pStyle w:val="Normal"/>
        <w:framePr w:w="309" w:hAnchor="page" w:vAnchor="page" w:x="1989" w:y="1201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600" w:hAnchor="page" w:vAnchor="page" w:x="2328" w:y="1201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On December 5, 2022, Summit and Akeso entered into a Collaboration and License Agreement for ivonescimab.</w:t>
      </w:r>
    </w:p>
    <w:p>
      <w:pPr>
        <w:pStyle w:val="Normal"/>
        <w:framePr w:w="309" w:hAnchor="page" w:vAnchor="page" w:x="1303" w:y="116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0846" w:hAnchor="page" w:vAnchor="page" w:x="1642" w:y="116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Recapping our Collaboration and License Agreement with Akeso Inc. (Akeso) for ivonescimab (SMT112):</w:t>
      </w:r>
    </w:p>
    <w:p>
      <w:pPr>
        <w:pStyle w:val="Normal"/>
        <w:framePr w:w="309" w:hAnchor="page" w:vAnchor="page" w:x="1989" w:y="113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8597" w:hAnchor="page" w:vAnchor="page" w:x="2328" w:y="113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Commenced patient enrollment in the second Phase III clinical study, HARMONi-3.</w:t>
      </w:r>
    </w:p>
    <w:p>
      <w:pPr>
        <w:pStyle w:val="Normal"/>
        <w:framePr w:w="6442" w:hAnchor="page" w:vAnchor="page" w:x="2332" w:y="110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enrollment is expected to complete in the second half of 2024</w:t>
      </w:r>
    </w:p>
    <w:p>
      <w:pPr>
        <w:pStyle w:val="Normal"/>
        <w:framePr w:w="309" w:hAnchor="page" w:vAnchor="page" w:x="1989" w:y="107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53" w:hAnchor="page" w:vAnchor="page" w:x="2357" w:y="107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Launched  the  Phase  III  HARMONi  clinical  trial  in  less  than  4  months  of  acquiring  the  rights  to  ivonescimab;</w:t>
      </w:r>
    </w:p>
    <w:p>
      <w:pPr>
        <w:pStyle w:val="Normal"/>
        <w:framePr w:w="1003" w:hAnchor="page" w:vAnchor="page" w:x="3019" w:y="104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3” trial),</w:t>
      </w:r>
    </w:p>
    <w:p>
      <w:pPr>
        <w:pStyle w:val="Normal"/>
        <w:framePr w:w="308" w:hAnchor="page" w:vAnchor="page" w:x="2675" w:y="102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</w:t>
      </w:r>
    </w:p>
    <w:p>
      <w:pPr>
        <w:pStyle w:val="Normal"/>
        <w:framePr w:w="10955" w:hAnchor="page" w:vAnchor="page" w:x="3014" w:y="102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Ivonescimab combined with chemotherapy in first-line metastatic squamous NSCLC patients (“HARMONi-</w:t>
      </w:r>
    </w:p>
    <w:p>
      <w:pPr>
        <w:pStyle w:val="Normal"/>
        <w:framePr w:w="7672" w:hAnchor="page" w:vAnchor="page" w:x="3019" w:y="985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 third-generation EGFR tyrosine kinase inhibitor (TKI) (“HARMONi” trial),</w:t>
      </w:r>
    </w:p>
    <w:p>
      <w:pPr>
        <w:pStyle w:val="Normal"/>
        <w:framePr w:w="10961" w:hAnchor="page" w:vAnchor="page" w:x="3019" w:y="96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mutated, locally advanced or metastatic non-squamous NSCLC who have progressed after treatment with</w:t>
      </w:r>
    </w:p>
    <w:p>
      <w:pPr>
        <w:pStyle w:val="Normal"/>
        <w:framePr w:w="11376" w:hAnchor="page" w:vAnchor="page" w:x="2675" w:y="94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     Ivonescimab  combined  with  chemotherapy  in  patients  with  epidermal  growth  factor  receptor  (EGFR)-</w:t>
      </w:r>
    </w:p>
    <w:p>
      <w:pPr>
        <w:pStyle w:val="Normal"/>
        <w:framePr w:w="309" w:hAnchor="page" w:vAnchor="page" w:x="1989" w:y="90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143" w:hAnchor="page" w:vAnchor="page" w:x="2328" w:y="90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Begun our clinical development in non-small cell lung cancer (NSCLC) in the following proposed indications:</w:t>
      </w:r>
    </w:p>
    <w:p>
      <w:pPr>
        <w:pStyle w:val="Normal"/>
        <w:framePr w:w="5535" w:hAnchor="page" w:vAnchor="page" w:x="2332" w:y="87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program and incorporated this feedback accordingly,</w:t>
      </w:r>
    </w:p>
    <w:p>
      <w:pPr>
        <w:pStyle w:val="Normal"/>
        <w:framePr w:w="309" w:hAnchor="page" w:vAnchor="page" w:x="1989" w:y="85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61" w:hAnchor="page" w:vAnchor="page" w:x="2343" w:y="85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Held multiple meetings with the US Food &amp; Drug Administration (FDA) regarding our planned Phase III clinical</w:t>
      </w:r>
    </w:p>
    <w:p>
      <w:pPr>
        <w:pStyle w:val="Normal"/>
        <w:framePr w:w="4052" w:hAnchor="page" w:vAnchor="page" w:x="1646" w:y="81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transaction for ivonescimab, we have:</w:t>
      </w:r>
    </w:p>
    <w:p>
      <w:pPr>
        <w:pStyle w:val="Normal"/>
        <w:framePr w:w="309" w:hAnchor="page" w:vAnchor="page" w:x="1303" w:y="79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607" w:hAnchor="page" w:vAnchor="page" w:x="1642" w:y="79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We are actively engaged in development activities for SMT112. In just over nine months since we closed our in-licensing</w:t>
      </w:r>
    </w:p>
    <w:p>
      <w:pPr>
        <w:pStyle w:val="Normal"/>
        <w:framePr w:w="1206" w:hAnchor="page" w:vAnchor="page" w:x="960" w:y="758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molecule:</w:t>
      </w:r>
    </w:p>
    <w:p>
      <w:pPr>
        <w:pStyle w:val="Normal"/>
        <w:framePr w:w="13434" w:hAnchor="page" w:vAnchor="page" w:x="960" w:y="73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effects of immunotherapy via a blockade of PD-1 with the anti-angiogenesis effects associated with blocking VEGF into a single</w:t>
      </w:r>
    </w:p>
    <w:p>
      <w:pPr>
        <w:pStyle w:val="Normal"/>
        <w:framePr w:w="13841" w:hAnchor="page" w:vAnchor="page" w:x="617" w:y="71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     Our operational progress with ivonescimab (SMT112), an innovative, potentially first-in-class bispecific antibody combining the</w:t>
      </w:r>
    </w:p>
    <w:p>
      <w:pPr>
        <w:pStyle w:val="Normal"/>
        <w:framePr w:w="3848" w:hAnchor="page" w:vAnchor="page" w:x="274" w:y="679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Operational &amp; Corporate Updates</w:t>
      </w:r>
    </w:p>
    <w:p>
      <w:pPr>
        <w:pStyle w:val="Normal"/>
        <w:framePr w:w="800" w:hAnchor="page" w:vAnchor="page" w:x="274" w:y="63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2023.</w:t>
      </w:r>
    </w:p>
    <w:p>
      <w:pPr>
        <w:pStyle w:val="Normal"/>
        <w:framePr w:w="14241" w:hAnchor="page" w:vAnchor="page" w:x="274" w:y="609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reports its financial results and provides an update on operational progress for the third quarter and nine months ended September 30,</w:t>
      </w:r>
    </w:p>
    <w:p>
      <w:pPr>
        <w:pStyle w:val="Normal"/>
        <w:framePr w:w="14246" w:hAnchor="page" w:vAnchor="page" w:x="274" w:y="587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 xml:space="preserve">Menlo Park, California, November 7, 2023 </w:t>
      </w:r>
      <w:r>
        <w:rPr>
          <w:rFonts w:ascii="ArialMT" w:hAnsi="ArialMT" w:fareast="ArialMT" w:cs="ArialMT"/>
          <w:color w:val="000000"/>
          <w:w w:val="100"/>
          <w:sz w:val="19"/>
          <w:szCs w:val="19"/>
        </w:rPr>
        <w:t>- Summit Therapeutics Inc. (NASDAQ: SMMT) ("Summit," "we," or the "Company") today</w:t>
      </w:r>
    </w:p>
    <w:p>
      <w:pPr>
        <w:pStyle w:val="Normal"/>
        <w:framePr w:w="4341" w:hAnchor="page" w:vAnchor="page" w:x="4406" w:y="53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&amp; Anti-Angiogenic Treatment Experience</w:t>
      </w:r>
    </w:p>
    <w:p>
      <w:pPr>
        <w:pStyle w:val="Normal"/>
        <w:framePr w:w="14376" w:hAnchor="page" w:vAnchor="page" w:x="311" w:y="517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Dr. Jack West &amp; Dr. Laura Chow Bolster Summit's Clinical Development Team with Combined 45+ Years of Lung Cancer, Immunotherapy,</w:t>
      </w:r>
    </w:p>
    <w:p>
      <w:pPr>
        <w:pStyle w:val="Normal"/>
        <w:framePr w:w="10743" w:hAnchor="page" w:vAnchor="page" w:x="1897" w:y="46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Dave Gancarz, Dr. Urte Gayko, Dr. Fong Clow, &amp; Dr. Allen S. Yang Elevated to Leadership Positions</w:t>
      </w:r>
    </w:p>
    <w:p>
      <w:pPr>
        <w:pStyle w:val="Normal"/>
        <w:framePr w:w="8321" w:hAnchor="page" w:vAnchor="page" w:x="2827" w:y="421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Manmeet S. Soni Joined Summit as COO, Invested $5 Million in the Company</w:t>
      </w:r>
    </w:p>
    <w:p>
      <w:pPr>
        <w:pStyle w:val="Normal"/>
        <w:framePr w:w="11968" w:hAnchor="page" w:vAnchor="page" w:x="1315" w:y="374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Continuing Enrollment of HARMONi Phase III Study, with Enrollment Completion Expected in Second Half of 2024</w:t>
      </w:r>
    </w:p>
    <w:p>
      <w:pPr>
        <w:pStyle w:val="Normal"/>
        <w:framePr w:w="8944" w:hAnchor="page" w:vAnchor="page" w:x="2568" w:y="326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</w:pPr>
      <w:r>
        <w:rPr>
          <w:rFonts w:ascii="Arial-ItalicMT" w:hAnsi="Arial-ItalicMT" w:fareast="Arial-ItalicMT" w:cs="Arial-ItalicMT"/>
          <w:color w:val="000000"/>
          <w:w w:val="100"/>
          <w:sz w:val="19"/>
          <w:szCs w:val="19"/>
        </w:rPr>
        <w:t>Enrollment Initiated in Second Phase III Clinical Study for Ivonescimab, HARMONi-3</w:t>
      </w:r>
    </w:p>
    <w:p>
      <w:pPr>
        <w:pStyle w:val="Normal"/>
        <w:framePr w:w="8066" w:hAnchor="page" w:vAnchor="page" w:x="2568" w:y="2734"/>
        <w:widowControl w:val="off"/>
        <w:autoSpaceDE w:val="off"/>
        <w:autoSpaceDN w:val="off"/>
        <w:spacing w:before="0" w:after="0" w:line="255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3"/>
          <w:szCs w:val="23"/>
        </w:rPr>
      </w:pPr>
      <w:r>
        <w:rPr>
          <w:rFonts w:ascii="Arial-BoldMT" w:hAnsi="Arial-BoldMT" w:fareast="Arial-BoldMT" w:cs="Arial-BoldMT"/>
          <w:color w:val="000000"/>
          <w:w w:val="100"/>
          <w:sz w:val="23"/>
          <w:szCs w:val="23"/>
        </w:rPr>
        <w:t>for the Third Quarter and Nine Months Ended September 30, 2023</w:t>
      </w:r>
    </w:p>
    <w:p>
      <w:pPr>
        <w:pStyle w:val="Normal"/>
        <w:framePr w:w="9115" w:hAnchor="page" w:vAnchor="page" w:x="2092" w:y="2477"/>
        <w:widowControl w:val="off"/>
        <w:autoSpaceDE w:val="off"/>
        <w:autoSpaceDN w:val="off"/>
        <w:spacing w:before="0" w:after="0" w:line="255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3"/>
          <w:szCs w:val="23"/>
        </w:rPr>
      </w:pPr>
      <w:r>
        <w:rPr>
          <w:rFonts w:ascii="Arial-BoldMT" w:hAnsi="Arial-BoldMT" w:fareast="Arial-BoldMT" w:cs="Arial-BoldMT"/>
          <w:color w:val="000000"/>
          <w:w w:val="100"/>
          <w:sz w:val="23"/>
          <w:szCs w:val="23"/>
        </w:rPr>
        <w:t>Summit Therapeutics Reports Financial Results and Operational Progress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7pt;margin-top:1pt;z-index:-16776988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12.7pt;margin-top:686.35pt;z-index:-1677698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12.7pt;margin-top:687.05pt;z-index:-16776980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596.55pt;margin-top:686.35pt;z-index:-16776976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12.7pt;margin-top:686.35pt;z-index:-16776972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13.7pt;margin-top:14.85pt;z-index:-16776968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</w:p>
    <w:p>
      <w:pPr>
        <w:pStyle w:val="Normal"/>
        <w:framePr w:w="309" w:hAnchor="page" w:vAnchor="page" w:x="1989" w:y="1201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5200" w:hAnchor="page" w:vAnchor="page" w:x="2328" w:y="1201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Allen S. Yang, MD, PhD, as Chief Medical Officer</w:t>
      </w:r>
    </w:p>
    <w:p>
      <w:pPr>
        <w:pStyle w:val="Normal"/>
        <w:framePr w:w="309" w:hAnchor="page" w:vAnchor="page" w:x="1989" w:y="1178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4695" w:hAnchor="page" w:vAnchor="page" w:x="2328" w:y="1178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Fong Clow, DSc, as Chief Biometrics Officer</w:t>
      </w:r>
    </w:p>
    <w:p>
      <w:pPr>
        <w:pStyle w:val="Normal"/>
        <w:framePr w:w="309" w:hAnchor="page" w:vAnchor="page" w:x="1989" w:y="115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7902" w:hAnchor="page" w:vAnchor="page" w:x="2328" w:y="115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Urte Gayko, PhD, as Chief Regulatory, Quality, &amp; Pharmacovigilance Officer</w:t>
      </w:r>
    </w:p>
    <w:p>
      <w:pPr>
        <w:pStyle w:val="Normal"/>
        <w:framePr w:w="309" w:hAnchor="page" w:vAnchor="page" w:x="1989" w:y="113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5446" w:hAnchor="page" w:vAnchor="page" w:x="2328" w:y="113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Dave Gancarz as Chief Business &amp; Strategy Officer</w:t>
      </w:r>
    </w:p>
    <w:p>
      <w:pPr>
        <w:pStyle w:val="Normal"/>
        <w:framePr w:w="12604" w:hAnchor="page" w:vAnchor="page" w:x="1646" w:y="110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that has been achieved since, the following elevated appointments have been made from current leaders at Team Summit:</w:t>
      </w:r>
    </w:p>
    <w:p>
      <w:pPr>
        <w:pStyle w:val="Normal"/>
        <w:framePr w:w="309" w:hAnchor="page" w:vAnchor="page" w:x="1303" w:y="107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609" w:hAnchor="page" w:vAnchor="page" w:x="1642" w:y="107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Based on the accomplishments of the Company, including our deal to in-license ivonescimab and the operational progress</w:t>
      </w:r>
    </w:p>
    <w:p>
      <w:pPr>
        <w:pStyle w:val="Normal"/>
        <w:framePr w:w="7991" w:hAnchor="page" w:vAnchor="page" w:x="1646" w:y="104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COO, Mr. Soni invested $5.0 million in the Company via a private placement.</w:t>
      </w:r>
    </w:p>
    <w:p>
      <w:pPr>
        <w:pStyle w:val="Normal"/>
        <w:framePr w:w="12607" w:hAnchor="page" w:vAnchor="page" w:x="1646" w:y="102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service to Summit, he serves on the Board of Directors of Pulse Biosciences, Inc. In conjunction with joining Summit as</w:t>
      </w:r>
    </w:p>
    <w:p>
      <w:pPr>
        <w:pStyle w:val="Normal"/>
        <w:framePr w:w="12607" w:hAnchor="page" w:vAnchor="page" w:x="1646" w:y="99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W. Duggan and Dr. Maky Zanganeh, was sold to AbbVie Inc. for $21 billion in 2015. In addition to his continuing board</w:t>
      </w:r>
    </w:p>
    <w:p>
      <w:pPr>
        <w:pStyle w:val="Normal"/>
        <w:framePr w:w="12602" w:hAnchor="page" w:vAnchor="page" w:x="1646" w:y="97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Ltd. for $5.4 billion in 2017. Mr. Soni was also the CFO at Pharmacyclics, Inc., which, along with the leadership of Robert</w:t>
      </w:r>
    </w:p>
    <w:p>
      <w:pPr>
        <w:pStyle w:val="Normal"/>
        <w:framePr w:w="12610" w:hAnchor="page" w:vAnchor="page" w:x="1646" w:y="95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Pharmaceuticals, Inc. and Ariad Pharmaceuticals, Inc., the latter of which was purchased by Takeda Pharmaceutical Co.</w:t>
      </w:r>
    </w:p>
    <w:p>
      <w:pPr>
        <w:pStyle w:val="Normal"/>
        <w:framePr w:w="12605" w:hAnchor="page" w:vAnchor="page" w:x="1646" w:y="928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Pharmaceuticals, Inc., which was sold to Biogen Inc. for $7.5 billion. Prior to Reata, Mr. Soni was the CFO at Alnylam</w:t>
      </w:r>
    </w:p>
    <w:p>
      <w:pPr>
        <w:pStyle w:val="Normal"/>
        <w:framePr w:w="12604" w:hAnchor="page" w:vAnchor="page" w:x="1646" w:y="90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operational  leadership  experience.  He   was  President,  Chief  Operating  Officer,   &amp;  Chief  Financial  Officer  at   Reata</w:t>
      </w:r>
    </w:p>
    <w:p>
      <w:pPr>
        <w:pStyle w:val="Normal"/>
        <w:framePr w:w="309" w:hAnchor="page" w:vAnchor="page" w:x="1303" w:y="884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590" w:hAnchor="page" w:vAnchor="page" w:x="1657" w:y="884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Manmeet S. Soni has joined the Company as our Chief Operating Officer. Mr. Soni has over 20 years of financial and</w:t>
      </w:r>
    </w:p>
    <w:p>
      <w:pPr>
        <w:pStyle w:val="Normal"/>
        <w:framePr w:w="308" w:hAnchor="page" w:vAnchor="page" w:x="617" w:y="85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</w:t>
      </w:r>
    </w:p>
    <w:p>
      <w:pPr>
        <w:pStyle w:val="Normal"/>
        <w:framePr w:w="12122" w:hAnchor="page" w:vAnchor="page" w:x="955" w:y="85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 the beginning of Q4, we announced that we have bolstered our leadership and clinical experience at Team Summit:</w:t>
      </w:r>
    </w:p>
    <w:p>
      <w:pPr>
        <w:pStyle w:val="Normal"/>
        <w:framePr w:w="9906" w:hAnchor="page" w:vAnchor="page" w:x="2332" w:y="81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PD-1 inhibitor and a novel PD-1 / CTLA-4 bispecific antibody. Akeso has over 2,700 employees.</w:t>
      </w:r>
    </w:p>
    <w:p>
      <w:pPr>
        <w:pStyle w:val="Normal"/>
        <w:framePr w:w="11785" w:hAnchor="page" w:vAnchor="page" w:x="2332" w:y="79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17 drug candidates, including 14 pivotal trials. Akeso has two drugs approved for oncology indications in China: a</w:t>
      </w:r>
    </w:p>
    <w:p>
      <w:pPr>
        <w:pStyle w:val="Normal"/>
        <w:framePr w:w="11778" w:hAnchor="page" w:vAnchor="page" w:x="2332" w:y="77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various stages of development, including six bispecific antibodies. Akeso has taken part in over 80 clinical trials for</w:t>
      </w:r>
    </w:p>
    <w:p>
      <w:pPr>
        <w:pStyle w:val="Normal"/>
        <w:framePr w:w="309" w:hAnchor="page" w:vAnchor="page" w:x="1989" w:y="74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48" w:hAnchor="page" w:vAnchor="page" w:x="2357" w:y="74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Akeso  has  a  rich  and  diversified  antibody  drug  pipeline  with  over  30  internally  discovered  drug  candidates  in</w:t>
      </w:r>
    </w:p>
    <w:p>
      <w:pPr>
        <w:pStyle w:val="Normal"/>
        <w:framePr w:w="5176" w:hAnchor="page" w:vAnchor="page" w:x="2332" w:y="71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beginning recently in Summit's license territories.</w:t>
      </w:r>
    </w:p>
    <w:p>
      <w:pPr>
        <w:pStyle w:val="Normal"/>
        <w:framePr w:w="309" w:hAnchor="page" w:vAnchor="page" w:x="1989" w:y="691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60" w:hAnchor="page" w:vAnchor="page" w:x="2343" w:y="691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Over 950 patients have been treated with ivonescimab in clinical studies in China and Australia, with enrollment</w:t>
      </w:r>
    </w:p>
    <w:p>
      <w:pPr>
        <w:pStyle w:val="Normal"/>
        <w:framePr w:w="9558" w:hAnchor="page" w:vAnchor="page" w:x="2332" w:y="65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ASCO supports Summit's HARMONi-3 clinical trial in first-line metastatic squamous NSCLC.</w:t>
      </w:r>
    </w:p>
    <w:p>
      <w:pPr>
        <w:pStyle w:val="Normal"/>
        <w:framePr w:w="11783" w:hAnchor="page" w:vAnchor="page" w:x="2332" w:y="63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 addition to encouraging data in multiple indications within NSCLC, a portion of the updated data presented at</w:t>
      </w:r>
    </w:p>
    <w:p>
      <w:pPr>
        <w:pStyle w:val="Normal"/>
        <w:framePr w:w="11772" w:hAnchor="page" w:vAnchor="page" w:x="2332" w:y="61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our partners, Akeso, was presented at the 2023 American Society of Clinical Oncology (ASCO) Annual Meeting.</w:t>
      </w:r>
    </w:p>
    <w:p>
      <w:pPr>
        <w:pStyle w:val="Normal"/>
        <w:framePr w:w="309" w:hAnchor="page" w:vAnchor="page" w:x="1989" w:y="588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82" w:hAnchor="page" w:vAnchor="page" w:x="2328" w:y="588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 June 2023, promising Phase II data from AK112-201, a study of Chinese subjects conducted and analyzed by</w:t>
      </w:r>
    </w:p>
    <w:p>
      <w:pPr>
        <w:pStyle w:val="Normal"/>
        <w:framePr w:w="9376" w:hAnchor="page" w:vAnchor="page" w:x="2332" w:y="55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addition, Akeso will receive low double-digit royalties on net sales in the Summit territories.</w:t>
      </w:r>
    </w:p>
    <w:p>
      <w:pPr>
        <w:pStyle w:val="Normal"/>
        <w:framePr w:w="309" w:hAnchor="page" w:vAnchor="page" w:x="1989" w:y="53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51" w:hAnchor="page" w:vAnchor="page" w:x="2357" w:y="53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Going forward, Akeso will be eligible to receive regulatory and commercial milestones of up to $4.5 billion. In</w:t>
      </w:r>
    </w:p>
    <w:p>
      <w:pPr>
        <w:pStyle w:val="Normal"/>
        <w:framePr w:w="308" w:hAnchor="page" w:vAnchor="page" w:x="2675" w:y="49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</w:t>
      </w:r>
    </w:p>
    <w:p>
      <w:pPr>
        <w:pStyle w:val="Normal"/>
        <w:framePr w:w="7776" w:hAnchor="page" w:vAnchor="page" w:x="3014" w:y="49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The second installment of $200 million was paid on March 6, 2023 in cash.</w:t>
      </w:r>
    </w:p>
    <w:p>
      <w:pPr>
        <w:pStyle w:val="Normal"/>
        <w:framePr w:w="7775" w:hAnchor="page" w:vAnchor="page" w:x="3019" w:y="464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million; the remaining $274.9 million was paid by Summit to Akeso in cash.</w:t>
      </w:r>
    </w:p>
    <w:p>
      <w:pPr>
        <w:pStyle w:val="Normal"/>
        <w:framePr w:w="10963" w:hAnchor="page" w:vAnchor="page" w:x="3019" w:y="44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Collaboration and License Agreement, to receive 10 million shares in lieu of a cash payment of $25.1</w:t>
      </w:r>
    </w:p>
    <w:p>
      <w:pPr>
        <w:pStyle w:val="Normal"/>
        <w:framePr w:w="10954" w:hAnchor="page" w:vAnchor="page" w:x="3019" w:y="41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transaction.  Of  the   $300  million  paid  to   Akeso  by  Summit,  Akeso   opted,  in  accordance  with   the</w:t>
      </w:r>
    </w:p>
    <w:p>
      <w:pPr>
        <w:pStyle w:val="Normal"/>
        <w:framePr w:w="11375" w:hAnchor="page" w:vAnchor="page" w:x="2675" w:y="39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     The  first  installment  worth  $300  million  was  paid  in  January  in  conjunction  with  the  closing   of  the</w:t>
      </w:r>
    </w:p>
    <w:p>
      <w:pPr>
        <w:pStyle w:val="Normal"/>
        <w:framePr w:w="1498" w:hAnchor="page" w:vAnchor="page" w:x="2332" w:y="361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installments.</w:t>
      </w:r>
    </w:p>
    <w:p>
      <w:pPr>
        <w:pStyle w:val="Normal"/>
        <w:framePr w:w="309" w:hAnchor="page" w:vAnchor="page" w:x="1989" w:y="33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63" w:hAnchor="page" w:vAnchor="page" w:x="2343" w:y="33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 exchange for these rights, Summit committed to an upfront payment of $500 million, which was paid in two</w:t>
      </w:r>
    </w:p>
    <w:p>
      <w:pPr>
        <w:pStyle w:val="Normal"/>
        <w:framePr w:w="889" w:hAnchor="page" w:vAnchor="page" w:x="2332" w:y="30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China.</w:t>
      </w:r>
    </w:p>
    <w:p>
      <w:pPr>
        <w:pStyle w:val="Normal"/>
        <w:framePr w:w="11781" w:hAnchor="page" w:vAnchor="page" w:x="2332" w:y="282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Europe, and Japan. Akeso retained development and commercialization rights for the rest of the world, including</w:t>
      </w:r>
    </w:p>
    <w:p>
      <w:pPr>
        <w:pStyle w:val="Normal"/>
        <w:framePr w:w="309" w:hAnchor="page" w:vAnchor="page" w:x="1989" w:y="259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▪</w:t>
      </w:r>
    </w:p>
    <w:p>
      <w:pPr>
        <w:pStyle w:val="Normal"/>
        <w:framePr w:w="11760" w:hAnchor="page" w:vAnchor="page" w:x="2343" w:y="259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Summit received the rights to develop and commercialize ivonescimab (SMT112) in the United States, Canada,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7pt;margin-top:1pt;z-index:-16776964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12.7pt;margin-top:657.75pt;z-index:-16776960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12.7pt;margin-top:658.45pt;z-index:-16776956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596.55pt;margin-top:657.75pt;z-index:-16776952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12.7pt;margin-top:657.75pt;z-index:-16776948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13.7pt;margin-top:14.85pt;z-index:-16776944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</w:p>
    <w:p>
      <w:pPr>
        <w:pStyle w:val="Normal"/>
        <w:framePr w:w="308" w:hAnchor="page" w:vAnchor="page" w:x="617" w:y="113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</w:t>
      </w:r>
    </w:p>
    <w:p>
      <w:pPr>
        <w:pStyle w:val="Normal"/>
        <w:framePr w:w="13427" w:hAnchor="page" w:vAnchor="page" w:x="955" w:y="113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Operating cash outflow for the nine months ended September 30, 2023 and 2022 was $57.3 million and $46.8 million, respectively.</w:t>
      </w:r>
    </w:p>
    <w:p>
      <w:pPr>
        <w:pStyle w:val="Normal"/>
        <w:framePr w:w="9021" w:hAnchor="page" w:vAnchor="page" w:x="1646" w:y="108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expenses associated with the in-licensing of ivonescimab from Akeso of $520.9 million.</w:t>
      </w:r>
    </w:p>
    <w:p>
      <w:pPr>
        <w:pStyle w:val="Normal"/>
        <w:framePr w:w="309" w:hAnchor="page" w:vAnchor="page" w:x="1303" w:y="106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586" w:hAnchor="page" w:vAnchor="page" w:x="1657" w:y="1063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The net loss for the nine months ended September 30, 2023 includes one-time in-process research and development</w:t>
      </w:r>
    </w:p>
    <w:p>
      <w:pPr>
        <w:pStyle w:val="Normal"/>
        <w:framePr w:w="10707" w:hAnchor="page" w:vAnchor="page" w:x="960" w:y="101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the three and nine months ended September 30, 2022 was $21.4 million and $59.6 million, respectively.</w:t>
      </w:r>
    </w:p>
    <w:p>
      <w:pPr>
        <w:pStyle w:val="Normal"/>
        <w:framePr w:w="308" w:hAnchor="page" w:vAnchor="page" w:x="617" w:y="99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</w:t>
      </w:r>
    </w:p>
    <w:p>
      <w:pPr>
        <w:pStyle w:val="Normal"/>
        <w:framePr w:w="13428" w:hAnchor="page" w:vAnchor="page" w:x="955" w:y="99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Net loss for the three and nine months ended September 30, 2023 was $21.3 million and $578.4 million, respectively. Net loss for</w:t>
      </w:r>
    </w:p>
    <w:p>
      <w:pPr>
        <w:pStyle w:val="Normal"/>
        <w:framePr w:w="9196" w:hAnchor="page" w:vAnchor="page" w:x="1646" w:y="94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due in September 2024, we have sufficient funds to operate into the second half of 2024.</w:t>
      </w:r>
    </w:p>
    <w:p>
      <w:pPr>
        <w:pStyle w:val="Normal"/>
        <w:framePr w:w="309" w:hAnchor="page" w:vAnchor="page" w:x="1303" w:y="92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583" w:hAnchor="page" w:vAnchor="page" w:x="1657" w:y="920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Based on our current cash and investments position, current operating plans, and with the $100.0 million notes payable</w:t>
      </w:r>
    </w:p>
    <w:p>
      <w:pPr>
        <w:pStyle w:val="Normal"/>
        <w:framePr w:w="309" w:hAnchor="page" w:vAnchor="page" w:x="1303" w:y="88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1512" w:hAnchor="page" w:vAnchor="page" w:x="1642" w:y="887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Our current notes payable balance at September 30, 2023 was $100.0 million, which is due in September 2024.</w:t>
      </w:r>
    </w:p>
    <w:p>
      <w:pPr>
        <w:pStyle w:val="Normal"/>
        <w:framePr w:w="309" w:hAnchor="page" w:vAnchor="page" w:x="1303" w:y="85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6516" w:hAnchor="page" w:vAnchor="page" w:x="1642" w:y="85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Our short-term investments consist of U.S. treasury securities.</w:t>
      </w:r>
    </w:p>
    <w:p>
      <w:pPr>
        <w:pStyle w:val="Normal"/>
        <w:framePr w:w="10813" w:hAnchor="page" w:vAnchor="page" w:x="1646" w:y="818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receivable on September 30, 2023 were $1.6 million as compared to $6.1 million on December 31, 2022.</w:t>
      </w:r>
    </w:p>
    <w:p>
      <w:pPr>
        <w:pStyle w:val="Normal"/>
        <w:framePr w:w="12609" w:hAnchor="page" w:vAnchor="page" w:x="1646" w:y="79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compared  to  $648.6  million  on  December  31,  2022.  Accounts  receivable  and  research  and  development  tax  credits</w:t>
      </w:r>
    </w:p>
    <w:p>
      <w:pPr>
        <w:pStyle w:val="Normal"/>
        <w:framePr w:w="309" w:hAnchor="page" w:vAnchor="page" w:x="1303" w:y="772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592" w:hAnchor="page" w:vAnchor="page" w:x="1657" w:y="772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Our cash, cash equivalents, restricted cash, and short-term investments on September 30, 2023 was $198.9 million as</w:t>
      </w:r>
    </w:p>
    <w:p>
      <w:pPr>
        <w:pStyle w:val="Normal"/>
        <w:framePr w:w="7204" w:hAnchor="page" w:vAnchor="page" w:x="960" w:y="738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$200.5 million as compared to $654.7 million on December 31, 2022.</w:t>
      </w:r>
    </w:p>
    <w:p>
      <w:pPr>
        <w:pStyle w:val="Normal"/>
        <w:framePr w:w="13837" w:hAnchor="page" w:vAnchor="page" w:x="617" w:y="71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•     Aggregate cash and cash equivalents, restricted cash, short-term investments, and receivables on September 30, 2023 totaled</w:t>
      </w:r>
    </w:p>
    <w:p>
      <w:pPr>
        <w:pStyle w:val="Normal"/>
        <w:framePr w:w="2400" w:hAnchor="page" w:vAnchor="page" w:x="274" w:y="682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Financial Highlights</w:t>
      </w:r>
    </w:p>
    <w:p>
      <w:pPr>
        <w:pStyle w:val="Normal"/>
        <w:framePr w:w="1016" w:hAnchor="page" w:vAnchor="page" w:x="1646" w:y="63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Alberta.</w:t>
      </w:r>
    </w:p>
    <w:p>
      <w:pPr>
        <w:pStyle w:val="Normal"/>
        <w:framePr w:w="12608" w:hAnchor="page" w:vAnchor="page" w:x="1646" w:y="61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earned  her  medical  degree  from  the  University  of  British  Columbia  and  performed  her  residency  at  the  University  of</w:t>
      </w:r>
    </w:p>
    <w:p>
      <w:pPr>
        <w:pStyle w:val="Normal"/>
        <w:framePr w:w="12599" w:hAnchor="page" w:vAnchor="page" w:x="1646" w:y="588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the early PD-1 therapies that now represent some of the most significant cancer therapies in present time. Dr. Chow</w:t>
      </w:r>
    </w:p>
    <w:p>
      <w:pPr>
        <w:pStyle w:val="Normal"/>
        <w:framePr w:w="12600" w:hAnchor="page" w:vAnchor="page" w:x="1646" w:y="565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and anti-angiogenic agents. Dr. Chow has participated in advisory boards for multiple novel immunotherapies, including</w:t>
      </w:r>
    </w:p>
    <w:p>
      <w:pPr>
        <w:pStyle w:val="Normal"/>
        <w:framePr w:w="12598" w:hAnchor="page" w:vAnchor="page" w:x="1646" w:y="54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where she was a clinical researcher in lung cancer, thyroid cancers, head and neck cancers, and novel immunotherapies</w:t>
      </w:r>
    </w:p>
    <w:p>
      <w:pPr>
        <w:pStyle w:val="Normal"/>
        <w:framePr w:w="12596" w:hAnchor="page" w:vAnchor="page" w:x="1646" w:y="519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University of Texas, Dr. Chow was a professor at the University of Washington Fred Hutchinson Cancer Research Center</w:t>
      </w:r>
    </w:p>
    <w:p>
      <w:pPr>
        <w:pStyle w:val="Normal"/>
        <w:framePr w:w="12607" w:hAnchor="page" w:vAnchor="page" w:x="1646" w:y="49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Head &amp; Neck and Lung Cancer Program at Dell Medical School and University of Texas at Austin. Prior to joining the</w:t>
      </w:r>
    </w:p>
    <w:p>
      <w:pPr>
        <w:pStyle w:val="Normal"/>
        <w:framePr w:w="12602" w:hAnchor="page" w:vAnchor="page" w:x="1646" w:y="475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experience as a practicing medical oncologist and clinical researcher. She was previously a professor and Director of the</w:t>
      </w:r>
    </w:p>
    <w:p>
      <w:pPr>
        <w:pStyle w:val="Normal"/>
        <w:framePr w:w="309" w:hAnchor="page" w:vAnchor="page" w:x="1303" w:y="45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608" w:hAnchor="page" w:vAnchor="page" w:x="1642" w:y="45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Laura Chow, MD, joined Summit as Senior Vice President of Clinical Development. Dr. Chow brings nearly two decades of</w:t>
      </w:r>
    </w:p>
    <w:p>
      <w:pPr>
        <w:pStyle w:val="Normal"/>
        <w:framePr w:w="4014" w:hAnchor="page" w:vAnchor="page" w:x="1646" w:y="41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Hutchinson Cancer Research Center.</w:t>
      </w:r>
    </w:p>
    <w:p>
      <w:pPr>
        <w:pStyle w:val="Normal"/>
        <w:framePr w:w="12605" w:hAnchor="page" w:vAnchor="page" w:x="1646" w:y="39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at Massachusetts General Hospital, and did his medical oncology fellowship training at the University of Washington Fred</w:t>
      </w:r>
    </w:p>
    <w:p>
      <w:pPr>
        <w:pStyle w:val="Normal"/>
        <w:framePr w:w="12599" w:hAnchor="page" w:vAnchor="page" w:x="1646" w:y="37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West earned his medical degree from Harvard Medical School, was the Howard Hughes Medical Student Research Fellow</w:t>
      </w:r>
    </w:p>
    <w:p>
      <w:pPr>
        <w:pStyle w:val="Normal"/>
        <w:framePr w:w="12594" w:hAnchor="page" w:vAnchor="page" w:x="1646" w:y="34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Health &amp; Services, including time as the Medical Director of the Thoracic Oncology Program. As a practicing physician, Dr.</w:t>
      </w:r>
    </w:p>
    <w:p>
      <w:pPr>
        <w:pStyle w:val="Normal"/>
        <w:framePr w:w="12610" w:hAnchor="page" w:vAnchor="page" w:x="1646" w:y="328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Professor and practicing medical oncologist. Prior to joining City of Hope, Dr. West spent over 15 years at Providence</w:t>
      </w:r>
    </w:p>
    <w:p>
      <w:pPr>
        <w:pStyle w:val="Normal"/>
        <w:framePr w:w="12604" w:hAnchor="page" w:vAnchor="page" w:x="1646" w:y="30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research centers. At City of Hope, he was the Vice President of Network Strategy at AccessHope, as well as an Associate</w:t>
      </w:r>
    </w:p>
    <w:p>
      <w:pPr>
        <w:pStyle w:val="Normal"/>
        <w:framePr w:w="12598" w:hAnchor="page" w:vAnchor="page" w:x="1646" w:y="282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as a practicing thoracic oncologist; he joined Summit from City of Hope, one of the nation’s leading cancer treatment and</w:t>
      </w:r>
    </w:p>
    <w:p>
      <w:pPr>
        <w:pStyle w:val="Normal"/>
        <w:framePr w:w="309" w:hAnchor="page" w:vAnchor="page" w:x="1303" w:y="259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◦</w:t>
      </w:r>
    </w:p>
    <w:p>
      <w:pPr>
        <w:pStyle w:val="Normal"/>
        <w:framePr w:w="12604" w:hAnchor="page" w:vAnchor="page" w:x="1642" w:y="259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H. Jack West, MD, joined Summit as Vice President of Clinical Development. Dr. West brings over 25 years of experience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7pt;margin-top:1pt;z-index:-16776940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2.7pt;margin-top:649.9pt;z-index:-16776936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12.7pt;margin-top:650.6pt;z-index:-16776932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596.55pt;margin-top:649.9pt;z-index:-16776928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12.7pt;margin-top:649.9pt;z-index:-16776924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13.7pt;margin-top:14.85pt;z-index:-16776920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</w:p>
    <w:p>
      <w:pPr>
        <w:pStyle w:val="Normal"/>
        <w:framePr w:w="4637" w:hAnchor="page" w:vAnchor="page" w:x="274" w:y="1291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meaning of The Private Securities Litigation</w:t>
      </w:r>
    </w:p>
    <w:p>
      <w:pPr>
        <w:pStyle w:val="Normal"/>
        <w:framePr w:w="14245" w:hAnchor="page" w:vAnchor="page" w:x="274" w:y="1270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"plan," "potential," "predict," "project," "should," "target," "would," and similar expressions, constitute forward-looking statements within the</w:t>
      </w:r>
    </w:p>
    <w:p>
      <w:pPr>
        <w:pStyle w:val="Normal"/>
        <w:framePr w:w="14243" w:hAnchor="page" w:vAnchor="page" w:x="274" w:y="1247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acquisitions and other statements containing the words "anticipate," "believe," "continue," "could," "estimate," "expect," "intend," "may,"</w:t>
      </w:r>
    </w:p>
    <w:p>
      <w:pPr>
        <w:pStyle w:val="Normal"/>
        <w:framePr w:w="14242" w:hAnchor="page" w:vAnchor="page" w:x="274" w:y="122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applications for marketing approvals, the impact of the COVID-19 pandemic on the Company’s operations and clinical trials, potential</w:t>
      </w:r>
    </w:p>
    <w:p>
      <w:pPr>
        <w:pStyle w:val="Normal"/>
        <w:framePr w:w="14243" w:hAnchor="page" w:vAnchor="page" w:x="274" w:y="1204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the Company’s product candidates, the timing of initiation, completion and availability of data from clinical trials, the potential submission of</w:t>
      </w:r>
    </w:p>
    <w:p>
      <w:pPr>
        <w:pStyle w:val="Normal"/>
        <w:framePr w:w="14250" w:hAnchor="page" w:vAnchor="page" w:x="274" w:y="1181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Company’s partnership with Akeso Inc., the therapeutic potential of the Company’s product candidates, the potential commercialization of</w:t>
      </w:r>
    </w:p>
    <w:p>
      <w:pPr>
        <w:pStyle w:val="Normal"/>
        <w:framePr w:w="14244" w:hAnchor="page" w:vAnchor="page" w:x="274" w:y="1160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statements  about  the  clinical  and  preclinical  development  of  the  Company’s  product  candidates,  entry  into  and  actions  related  to  the</w:t>
      </w:r>
    </w:p>
    <w:p>
      <w:pPr>
        <w:pStyle w:val="Normal"/>
        <w:framePr w:w="14253" w:hAnchor="page" w:vAnchor="page" w:x="274" w:y="1138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Any  statements  in  this  press  release  about  the  Company’s  future  expectations,  plans  and  prospects,  including  but  not  limited  to,</w:t>
      </w:r>
    </w:p>
    <w:p>
      <w:pPr>
        <w:pStyle w:val="Normal"/>
        <w:framePr w:w="4216" w:hAnchor="page" w:vAnchor="page" w:x="274" w:y="1115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Summit Forward-looking Statements</w:t>
      </w:r>
    </w:p>
    <w:p>
      <w:pPr>
        <w:pStyle w:val="Normal"/>
        <w:framePr w:w="2607" w:hAnchor="page" w:vAnchor="page" w:x="274" w:y="1067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investors@smmttx.com</w:t>
      </w:r>
    </w:p>
    <w:p>
      <w:pPr>
        <w:pStyle w:val="Normal"/>
        <w:framePr w:w="3616" w:hAnchor="page" w:vAnchor="page" w:x="274" w:y="1044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Chief Business &amp; Strategy Officer</w:t>
      </w:r>
    </w:p>
    <w:p>
      <w:pPr>
        <w:pStyle w:val="Normal"/>
        <w:framePr w:w="1689" w:hAnchor="page" w:vAnchor="page" w:x="274" w:y="102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Dave Gancarz</w:t>
      </w:r>
    </w:p>
    <w:p>
      <w:pPr>
        <w:pStyle w:val="Normal"/>
        <w:framePr w:w="4102" w:hAnchor="page" w:vAnchor="page" w:x="274" w:y="998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Contact Summit Investor Relations:</w:t>
      </w:r>
    </w:p>
    <w:p>
      <w:pPr>
        <w:pStyle w:val="Normal"/>
        <w:framePr w:w="11232" w:hAnchor="page" w:vAnchor="page" w:x="274" w:y="952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For more information, please visit https://www.smmttx.com and follow us on X (formerly Twitter) @summitplc.</w:t>
      </w:r>
    </w:p>
    <w:p>
      <w:pPr>
        <w:pStyle w:val="Normal"/>
        <w:framePr w:w="6475" w:hAnchor="page" w:vAnchor="page" w:x="274" w:y="904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Park, California, and we have additional offices in Oxford, UK.</w:t>
      </w:r>
    </w:p>
    <w:p>
      <w:pPr>
        <w:pStyle w:val="Normal"/>
        <w:framePr w:w="14251" w:hAnchor="page" w:vAnchor="page" w:x="274" w:y="881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Summit was founded in 2003 and our shares are listed on the Nasdaq Global Market (symbol ‘SMMT’). We are headquartered in Menlo</w:t>
      </w:r>
    </w:p>
    <w:p>
      <w:pPr>
        <w:pStyle w:val="Normal"/>
        <w:framePr w:w="3276" w:hAnchor="page" w:vAnchor="page" w:x="274" w:y="858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About Summit Therapeutics</w:t>
      </w:r>
    </w:p>
    <w:p>
      <w:pPr>
        <w:pStyle w:val="Normal"/>
        <w:framePr w:w="13498" w:hAnchor="page" w:vAnchor="page" w:x="274" w:y="811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treated with ivonescimab in clinical studies in China and Australia, with enrollment beginning recently in Summit's license territories.</w:t>
      </w:r>
    </w:p>
    <w:p>
      <w:pPr>
        <w:pStyle w:val="Normal"/>
        <w:framePr w:w="14251" w:hAnchor="page" w:vAnchor="page" w:x="274" w:y="788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ivonescimab in NSCLC, commencing enrolling in its license territory in 2023 in two Phase III clinical trials. Over 950 patients have been</w:t>
      </w:r>
    </w:p>
    <w:p>
      <w:pPr>
        <w:pStyle w:val="Normal"/>
        <w:framePr w:w="14249" w:hAnchor="page" w:vAnchor="page" w:x="274" w:y="76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Inc. (HKEX Code: 9926.HK) and is currently engaged in multiple Phase III clinical trials. Summit has begun its clinical development of</w:t>
      </w:r>
    </w:p>
    <w:p>
      <w:pPr>
        <w:pStyle w:val="Normal"/>
        <w:framePr w:w="14246" w:hAnchor="page" w:vAnchor="page" w:x="274" w:y="742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of PD-1 with the anti-angiogenesis effects associated with blocking VEGF into a single molecule. Ivonescimab was discovered by Akeso</w:t>
      </w:r>
    </w:p>
    <w:p>
      <w:pPr>
        <w:pStyle w:val="Normal"/>
        <w:framePr w:w="14250" w:hAnchor="page" w:vAnchor="page" w:x="274" w:y="720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and Australia, is a novel, potential first-in-class investigational bispecific antibody combining the effects of immunotherapy via a blockade</w:t>
      </w:r>
    </w:p>
    <w:p>
      <w:pPr>
        <w:pStyle w:val="Normal"/>
        <w:framePr w:w="14242" w:hAnchor="page" w:vAnchor="page" w:x="274" w:y="69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Ivonescimab, known as SMT112 in the United States, Canada, Europe, and Japan (Summit’s license territories), and as AK112 in China</w:t>
      </w:r>
    </w:p>
    <w:p>
      <w:pPr>
        <w:pStyle w:val="Normal"/>
        <w:framePr w:w="2336" w:hAnchor="page" w:vAnchor="page" w:x="274" w:y="675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About Ivonescimab</w:t>
      </w:r>
    </w:p>
    <w:p>
      <w:pPr>
        <w:pStyle w:val="Normal"/>
        <w:framePr w:w="13397" w:hAnchor="page" w:vAnchor="page" w:x="274" w:y="627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continuous expansion of knowledge, ability, capability, and well-being for all involved stakeholders and highly-valued shareholders.</w:t>
      </w:r>
    </w:p>
    <w:p>
      <w:pPr>
        <w:pStyle w:val="Normal"/>
        <w:framePr w:w="14250" w:hAnchor="page" w:vAnchor="page" w:x="274" w:y="604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places  Summit  in  a  well-deserved,  top  market  share,  leadership  position.  Team  Summit  assumes  full  responsibility  for  stimulating</w:t>
      </w:r>
    </w:p>
    <w:p>
      <w:pPr>
        <w:pStyle w:val="Normal"/>
        <w:framePr w:w="14247" w:hAnchor="page" w:vAnchor="page" w:x="274" w:y="58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knowledge to this mission. Team Summit exists to pose, strategize, and execute a path forward in medicinal therapeutic health care that</w:t>
      </w:r>
    </w:p>
    <w:p>
      <w:pPr>
        <w:pStyle w:val="Normal"/>
        <w:framePr w:w="14251" w:hAnchor="page" w:vAnchor="page" w:x="274" w:y="559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We accomplish this by building a team of world class professional scientists and business administrators that apply their experience and</w:t>
      </w:r>
    </w:p>
    <w:p>
      <w:pPr>
        <w:pStyle w:val="Normal"/>
        <w:framePr w:w="12702" w:hAnchor="page" w:vAnchor="page" w:x="274" w:y="51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products in a rapid, cost-efficient manner, and to engage commercialization and/or development partners when appropriate.</w:t>
      </w:r>
    </w:p>
    <w:p>
      <w:pPr>
        <w:pStyle w:val="Normal"/>
        <w:framePr w:w="14241" w:hAnchor="page" w:vAnchor="page" w:x="274" w:y="48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identify and control promising product candidates based on exceptional scientific development and administrational expertise, develop our</w:t>
      </w:r>
    </w:p>
    <w:p>
      <w:pPr>
        <w:pStyle w:val="Normal"/>
        <w:framePr w:w="14242" w:hAnchor="page" w:vAnchor="page" w:x="274" w:y="465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medicinal therapy intended to: improve quality of life, increase potential duration of life, and resolve serious medical healthcare needs. To</w:t>
      </w:r>
    </w:p>
    <w:p>
      <w:pPr>
        <w:pStyle w:val="Normal"/>
        <w:framePr w:w="14256" w:hAnchor="page" w:vAnchor="page" w:x="274" w:y="44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enrollment, regulatory submission and approval, and successful commercialization of patient, physician, caregiver, and societal-friendly</w:t>
      </w:r>
    </w:p>
    <w:p>
      <w:pPr>
        <w:pStyle w:val="Normal"/>
        <w:framePr w:w="14241" w:hAnchor="page" w:vAnchor="page" w:x="274" w:y="41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To  build  a  viable,  long-lasting  health  care  organization  that  assumes  full  responsibility  for  designing,  developing,  trial  execution  and</w:t>
      </w:r>
    </w:p>
    <w:p>
      <w:pPr>
        <w:pStyle w:val="Normal"/>
        <w:framePr w:w="4699" w:hAnchor="page" w:vAnchor="page" w:x="274" w:y="39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Summit Therapeutics’ Mission Statement</w:t>
      </w:r>
    </w:p>
    <w:p>
      <w:pPr>
        <w:pStyle w:val="Normal"/>
        <w:framePr w:w="4053" w:hAnchor="page" w:vAnchor="page" w:x="274" w:y="34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available on our website after the call.</w:t>
      </w:r>
    </w:p>
    <w:p>
      <w:pPr>
        <w:pStyle w:val="Normal"/>
        <w:framePr w:w="14246" w:hAnchor="page" w:vAnchor="page" w:x="274" w:y="326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instructions for joining the call are accessible through Summit’s website www.smmttx.com. An archived edition of the webcast will be</w:t>
      </w:r>
    </w:p>
    <w:p>
      <w:pPr>
        <w:pStyle w:val="Normal"/>
        <w:framePr w:w="14257" w:hAnchor="page" w:vAnchor="page" w:x="274" w:y="304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dialing  (888)  210-3702  (toll-free  domestic)  or  (646)  960-0191  (international)  using   conference  code  5785899.  A  live  webcast  and</w:t>
      </w:r>
    </w:p>
    <w:p>
      <w:pPr>
        <w:pStyle w:val="Normal"/>
        <w:framePr w:w="14255" w:hAnchor="page" w:vAnchor="page" w:x="274" w:y="281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Summit will host an earnings call this morning, Tuesday, November 7, 2023, at 9:00am ET. The conference call will be accessible by</w:t>
      </w:r>
    </w:p>
    <w:p>
      <w:pPr>
        <w:pStyle w:val="Normal"/>
        <w:framePr w:w="3785" w:hAnchor="page" w:vAnchor="page" w:x="274" w:y="246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9"/>
          <w:szCs w:val="19"/>
        </w:rPr>
      </w:pPr>
      <w:r>
        <w:rPr>
          <w:rFonts w:ascii="Arial-BoldMT" w:hAnsi="Arial-BoldMT" w:fareast="Arial-BoldMT" w:cs="Arial-BoldMT"/>
          <w:color w:val="000000"/>
          <w:w w:val="100"/>
          <w:sz w:val="19"/>
          <w:szCs w:val="19"/>
        </w:rPr>
        <w:t>Third Quarter 2023 Earnings Call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7pt;margin-top:1pt;z-index:-16776916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12.7pt;margin-top:702.05pt;z-index:-16776912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2.7pt;margin-top:702.75pt;z-index:-16776908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596.55pt;margin-top:702.05pt;z-index:-16776904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2.7pt;margin-top:702.05pt;z-index:-16776900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13.7pt;margin-top:14.85pt;z-index:-16776896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</w:p>
    <w:p>
      <w:pPr>
        <w:pStyle w:val="Normal"/>
        <w:framePr w:w="5209" w:hAnchor="page" w:vAnchor="page" w:x="274" w:y="598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looking statements included in this press release.</w:t>
      </w:r>
    </w:p>
    <w:p>
      <w:pPr>
        <w:pStyle w:val="Normal"/>
        <w:framePr w:w="14246" w:hAnchor="page" w:vAnchor="page" w:x="274" w:y="577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representing the Company’s views as of any subsequent date. The Company specifically disclaims any obligation to update any forward-</w:t>
      </w:r>
    </w:p>
    <w:p>
      <w:pPr>
        <w:pStyle w:val="Normal"/>
        <w:framePr w:w="14252" w:hAnchor="page" w:vAnchor="page" w:x="274" w:y="555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included  in  this  press  release  represent  the  Company’s  views  only  as  of  the  date  of  this  release  and  should  not  be  relied  upon  as</w:t>
      </w:r>
    </w:p>
    <w:p>
      <w:pPr>
        <w:pStyle w:val="Normal"/>
        <w:framePr w:w="14241" w:hAnchor="page" w:vAnchor="page" w:x="274" w:y="532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readers  should  not  place  undue  reliance  on  forward-looking  statements  or  information.  In  addition,  any  forward-looking  statements</w:t>
      </w:r>
    </w:p>
    <w:p>
      <w:pPr>
        <w:pStyle w:val="Normal"/>
        <w:framePr w:w="14241" w:hAnchor="page" w:vAnchor="page" w:x="274" w:y="511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commercialization efforts, as well as to affect the likelihood of the successful completion of clinical development of SMT112. Accordingly,</w:t>
      </w:r>
    </w:p>
    <w:p>
      <w:pPr>
        <w:pStyle w:val="Normal"/>
        <w:framePr w:w="14248" w:hAnchor="page" w:vAnchor="page" w:x="274" w:y="4899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and Exchange Commission. Any change to our ongoing trials could cause delays, affect our future expenses, and add uncertainty to our</w:t>
      </w:r>
    </w:p>
    <w:p>
      <w:pPr>
        <w:pStyle w:val="Normal"/>
        <w:framePr w:w="14251" w:hAnchor="page" w:vAnchor="page" w:x="274" w:y="4670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expenditure requirements and other factors discussed in the "Risk Factors" section of filings that the Company makes with the Securities</w:t>
      </w:r>
    </w:p>
    <w:p>
      <w:pPr>
        <w:pStyle w:val="Normal"/>
        <w:framePr w:w="14256" w:hAnchor="page" w:vAnchor="page" w:x="274" w:y="44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funding  awards,  availability  of  funding  sufficient  for  the  Company’s  foreseeable  and  unforeseeable  operating  expenses  and  capital</w:t>
      </w:r>
    </w:p>
    <w:p>
      <w:pPr>
        <w:pStyle w:val="Normal"/>
        <w:framePr w:w="14248" w:hAnchor="page" w:vAnchor="page" w:x="274" w:y="424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collaborations with, other entities occur, expectations for regulatory approvals, laws and regulations affecting government contracts and</w:t>
      </w:r>
    </w:p>
    <w:p>
      <w:pPr>
        <w:pStyle w:val="Normal"/>
        <w:framePr w:w="14245" w:hAnchor="page" w:vAnchor="page" w:x="274" w:y="4012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opportunities to expand the Company’s pipeline of drug candidates, including without limitation, through potential acquisitions of, and/or</w:t>
      </w:r>
    </w:p>
    <w:p>
      <w:pPr>
        <w:pStyle w:val="Normal"/>
        <w:framePr w:w="14254" w:hAnchor="page" w:vAnchor="page" w:x="274" w:y="3798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results of early clinical trials or preclinical studies will be indicative of the results of later clinical trials, whether business development</w:t>
      </w:r>
    </w:p>
    <w:p>
      <w:pPr>
        <w:pStyle w:val="Normal"/>
        <w:framePr w:w="14257" w:hAnchor="page" w:vAnchor="page" w:x="274" w:y="3584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clinical trials and operations, whether preliminary results from a clinical trial will be predictive of the final results of that trial or whether</w:t>
      </w:r>
    </w:p>
    <w:p>
      <w:pPr>
        <w:pStyle w:val="Normal"/>
        <w:framePr w:w="14242" w:hAnchor="page" w:vAnchor="page" w:x="274" w:y="3355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and their success, and global public health crises, including the coronavirus COVID-19 outbreak, that may affect timing and status of our</w:t>
      </w:r>
    </w:p>
    <w:p>
      <w:pPr>
        <w:pStyle w:val="Normal"/>
        <w:framePr w:w="14252" w:hAnchor="page" w:vAnchor="page" w:x="274" w:y="3141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inherent in the initiation of future clinical trials, availability and timing of data from ongoing and future clinical trials, the results of such trials,</w:t>
      </w:r>
    </w:p>
    <w:p>
      <w:pPr>
        <w:pStyle w:val="Normal"/>
        <w:framePr w:w="14247" w:hAnchor="page" w:vAnchor="page" w:x="274" w:y="2926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activities for SMT112, the outcome of discussions with regulatory authorities, including the Food and Drug Administration, the uncertainties</w:t>
      </w:r>
    </w:p>
    <w:p>
      <w:pPr>
        <w:pStyle w:val="Normal"/>
        <w:framePr w:w="14254" w:hAnchor="page" w:vAnchor="page" w:x="274" w:y="2697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important factors, including the results of our evaluation of the underlying data in connection with the development and commercialization</w:t>
      </w:r>
    </w:p>
    <w:p>
      <w:pPr>
        <w:pStyle w:val="Normal"/>
        <w:framePr w:w="14252" w:hAnchor="page" w:vAnchor="page" w:x="274" w:y="2483"/>
        <w:widowControl w:val="off"/>
        <w:autoSpaceDE w:val="off"/>
        <w:autoSpaceDN w:val="off"/>
        <w:spacing w:before="0" w:after="0" w:line="213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9"/>
          <w:szCs w:val="19"/>
        </w:rPr>
      </w:pPr>
      <w:r>
        <w:rPr>
          <w:rFonts w:ascii="ArialMT" w:hAnsi="ArialMT" w:fareast="ArialMT" w:cs="ArialMT"/>
          <w:color w:val="000000"/>
          <w:w w:val="100"/>
          <w:sz w:val="19"/>
          <w:szCs w:val="19"/>
        </w:rPr>
        <w:t>Reform Act of 1995. Actual results may differ materially from those indicated by such forward-looking statements as a result of various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7pt;margin-top:1pt;z-index:-16776892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2.7pt;margin-top:356.15pt;z-index:-16776888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12.7pt;margin-top:356.9pt;z-index:-1677688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596.55pt;margin-top:356.15pt;z-index:-16776880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12.7pt;margin-top:356.15pt;z-index:-16776876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13.7pt;margin-top:14.85pt;z-index:-16776872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</w:p>
    <w:p>
      <w:pPr>
        <w:pStyle w:val="Normal"/>
        <w:framePr w:w="2161" w:hAnchor="page" w:vAnchor="page" w:x="965" w:y="977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Comprehensive loss</w:t>
      </w:r>
    </w:p>
    <w:p>
      <w:pPr>
        <w:pStyle w:val="Normal"/>
        <w:framePr w:w="342" w:hAnchor="page" w:vAnchor="page" w:x="6182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6613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(21,154)</w:t>
      </w:r>
    </w:p>
    <w:p>
      <w:pPr>
        <w:pStyle w:val="Normal"/>
        <w:framePr w:w="342" w:hAnchor="page" w:vAnchor="page" w:x="7468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7913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(21,434)</w:t>
      </w:r>
    </w:p>
    <w:p>
      <w:pPr>
        <w:pStyle w:val="Normal"/>
        <w:framePr w:w="342" w:hAnchor="page" w:vAnchor="page" w:x="8769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123" w:hAnchor="page" w:vAnchor="page" w:x="9119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(578,791)</w:t>
      </w:r>
    </w:p>
    <w:p>
      <w:pPr>
        <w:pStyle w:val="Normal"/>
        <w:framePr w:w="342" w:hAnchor="page" w:vAnchor="page" w:x="10169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10615" w:y="97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(60,573)</w:t>
      </w:r>
    </w:p>
    <w:p>
      <w:pPr>
        <w:pStyle w:val="Normal"/>
        <w:framePr w:w="4424" w:hAnchor="page" w:vAnchor="page" w:x="965" w:y="953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Net changes related to short-term investments</w:t>
      </w:r>
    </w:p>
    <w:p>
      <w:pPr>
        <w:pStyle w:val="Normal"/>
        <w:framePr w:w="399" w:hAnchor="page" w:vAnchor="page" w:x="7121" w:y="953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6 </w:t>
      </w:r>
    </w:p>
    <w:p>
      <w:pPr>
        <w:pStyle w:val="Normal"/>
        <w:framePr w:w="514" w:hAnchor="page" w:vAnchor="page" w:x="8326" w:y="953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399" w:hAnchor="page" w:vAnchor="page" w:x="9722" w:y="953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9 </w:t>
      </w:r>
    </w:p>
    <w:p>
      <w:pPr>
        <w:pStyle w:val="Normal"/>
        <w:framePr w:w="514" w:hAnchor="page" w:vAnchor="page" w:x="11027" w:y="953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2240" w:hAnchor="page" w:vAnchor="page" w:x="965" w:y="927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(expense) income, net</w:t>
      </w:r>
    </w:p>
    <w:p>
      <w:pPr>
        <w:pStyle w:val="Normal"/>
        <w:framePr w:w="514" w:hAnchor="page" w:vAnchor="page" w:x="7025" w:y="91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514" w:hAnchor="page" w:vAnchor="page" w:x="8326" w:y="91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723" w:hAnchor="page" w:vAnchor="page" w:x="9452" w:y="91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(419)</w:t>
      </w:r>
    </w:p>
    <w:p>
      <w:pPr>
        <w:pStyle w:val="Normal"/>
        <w:framePr w:w="514" w:hAnchor="page" w:vAnchor="page" w:x="11027" w:y="91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6100" w:hAnchor="page" w:vAnchor="page" w:x="965" w:y="908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Reclassification of cumulative currency translation gain to other</w:t>
      </w:r>
    </w:p>
    <w:p>
      <w:pPr>
        <w:pStyle w:val="Normal"/>
        <w:framePr w:w="3967" w:hAnchor="page" w:vAnchor="page" w:x="965" w:y="884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Foreign currency translation adjustments</w:t>
      </w:r>
    </w:p>
    <w:p>
      <w:pPr>
        <w:pStyle w:val="Normal"/>
        <w:framePr w:w="628" w:hAnchor="page" w:vAnchor="page" w:x="6930" w:y="884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108 </w:t>
      </w:r>
    </w:p>
    <w:p>
      <w:pPr>
        <w:pStyle w:val="Normal"/>
        <w:framePr w:w="609" w:hAnchor="page" w:vAnchor="page" w:x="8247" w:y="884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(49)</w:t>
      </w:r>
    </w:p>
    <w:p>
      <w:pPr>
        <w:pStyle w:val="Normal"/>
        <w:framePr w:w="609" w:hAnchor="page" w:vAnchor="page" w:x="9547" w:y="884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(20)</w:t>
      </w:r>
    </w:p>
    <w:p>
      <w:pPr>
        <w:pStyle w:val="Normal"/>
        <w:framePr w:w="895" w:hAnchor="page" w:vAnchor="page" w:x="10710" w:y="884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(1,020)</w:t>
      </w:r>
    </w:p>
    <w:p>
      <w:pPr>
        <w:pStyle w:val="Normal"/>
        <w:framePr w:w="3722" w:hAnchor="page" w:vAnchor="page" w:x="965" w:y="86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Other comprehensive (loss) income:</w:t>
      </w:r>
    </w:p>
    <w:p>
      <w:pPr>
        <w:pStyle w:val="Normal"/>
        <w:framePr w:w="971" w:hAnchor="page" w:vAnchor="page" w:x="965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Net loss</w:t>
      </w:r>
    </w:p>
    <w:p>
      <w:pPr>
        <w:pStyle w:val="Normal"/>
        <w:framePr w:w="342" w:hAnchor="page" w:vAnchor="page" w:x="6182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6613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(21,268)</w:t>
      </w:r>
    </w:p>
    <w:p>
      <w:pPr>
        <w:pStyle w:val="Normal"/>
        <w:framePr w:w="342" w:hAnchor="page" w:vAnchor="page" w:x="7468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7913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(21,385)</w:t>
      </w:r>
    </w:p>
    <w:p>
      <w:pPr>
        <w:pStyle w:val="Normal"/>
        <w:framePr w:w="342" w:hAnchor="page" w:vAnchor="page" w:x="8769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123" w:hAnchor="page" w:vAnchor="page" w:x="9119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(578,361)</w:t>
      </w:r>
    </w:p>
    <w:p>
      <w:pPr>
        <w:pStyle w:val="Normal"/>
        <w:framePr w:w="342" w:hAnchor="page" w:vAnchor="page" w:x="10169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10615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(59,553)</w:t>
      </w:r>
    </w:p>
    <w:p>
      <w:pPr>
        <w:pStyle w:val="Normal"/>
        <w:framePr w:w="2237" w:hAnchor="page" w:vAnchor="page" w:x="965" w:y="78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Comprehensive loss:</w:t>
      </w:r>
    </w:p>
    <w:p>
      <w:pPr>
        <w:pStyle w:val="Normal"/>
        <w:framePr w:w="3116" w:hAnchor="page" w:vAnchor="page" w:x="965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Basic and diluted loss per share</w:t>
      </w:r>
    </w:p>
    <w:p>
      <w:pPr>
        <w:pStyle w:val="Normal"/>
        <w:framePr w:w="342" w:hAnchor="page" w:vAnchor="page" w:x="6182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780" w:hAnchor="page" w:vAnchor="page" w:x="6803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(0.03)</w:t>
      </w:r>
    </w:p>
    <w:p>
      <w:pPr>
        <w:pStyle w:val="Normal"/>
        <w:framePr w:w="342" w:hAnchor="page" w:vAnchor="page" w:x="7468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780" w:hAnchor="page" w:vAnchor="page" w:x="8104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(0.10)</w:t>
      </w:r>
    </w:p>
    <w:p>
      <w:pPr>
        <w:pStyle w:val="Normal"/>
        <w:framePr w:w="342" w:hAnchor="page" w:vAnchor="page" w:x="8769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780" w:hAnchor="page" w:vAnchor="page" w:x="9405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(0.98)</w:t>
      </w:r>
    </w:p>
    <w:p>
      <w:pPr>
        <w:pStyle w:val="Normal"/>
        <w:framePr w:w="342" w:hAnchor="page" w:vAnchor="page" w:x="10169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780" w:hAnchor="page" w:vAnchor="page" w:x="10805" w:y="74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(0.37)</w:t>
      </w:r>
    </w:p>
    <w:p>
      <w:pPr>
        <w:pStyle w:val="Normal"/>
        <w:framePr w:w="984" w:hAnchor="page" w:vAnchor="page" w:x="965" w:y="68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Net loss</w:t>
      </w:r>
    </w:p>
    <w:p>
      <w:pPr>
        <w:pStyle w:val="Normal"/>
        <w:framePr w:w="342" w:hAnchor="page" w:vAnchor="page" w:x="6182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6613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(21,268)</w:t>
      </w:r>
    </w:p>
    <w:p>
      <w:pPr>
        <w:pStyle w:val="Normal"/>
        <w:framePr w:w="342" w:hAnchor="page" w:vAnchor="page" w:x="7468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7913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(21,385)</w:t>
      </w:r>
    </w:p>
    <w:p>
      <w:pPr>
        <w:pStyle w:val="Normal"/>
        <w:framePr w:w="342" w:hAnchor="page" w:vAnchor="page" w:x="8769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123" w:hAnchor="page" w:vAnchor="page" w:x="9119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(578,361)</w:t>
      </w:r>
    </w:p>
    <w:p>
      <w:pPr>
        <w:pStyle w:val="Normal"/>
        <w:framePr w:w="342" w:hAnchor="page" w:vAnchor="page" w:x="10169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10615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(59,553)</w:t>
      </w:r>
    </w:p>
    <w:p>
      <w:pPr>
        <w:pStyle w:val="Normal"/>
        <w:framePr w:w="2818" w:hAnchor="page" w:vAnchor="page" w:x="965" w:y="66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Other (expense) income, net</w:t>
      </w:r>
    </w:p>
    <w:p>
      <w:pPr>
        <w:pStyle w:val="Normal"/>
        <w:framePr w:w="723" w:hAnchor="page" w:vAnchor="page" w:x="6851" w:y="66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(776)</w:t>
      </w:r>
    </w:p>
    <w:p>
      <w:pPr>
        <w:pStyle w:val="Normal"/>
        <w:framePr w:w="895" w:hAnchor="page" w:vAnchor="page" w:x="8009" w:y="66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(4,445)</w:t>
      </w:r>
    </w:p>
    <w:p>
      <w:pPr>
        <w:pStyle w:val="Normal"/>
        <w:framePr w:w="895" w:hAnchor="page" w:vAnchor="page" w:x="9309" w:y="66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(4,921)</w:t>
      </w:r>
    </w:p>
    <w:p>
      <w:pPr>
        <w:pStyle w:val="Normal"/>
        <w:framePr w:w="895" w:hAnchor="page" w:vAnchor="page" w:x="10710" w:y="66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(7,763)</w:t>
      </w:r>
    </w:p>
    <w:p>
      <w:pPr>
        <w:pStyle w:val="Normal"/>
        <w:framePr w:w="1644" w:hAnchor="page" w:vAnchor="page" w:x="965" w:y="63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Operating loss</w:t>
      </w:r>
    </w:p>
    <w:p>
      <w:pPr>
        <w:pStyle w:val="Normal"/>
        <w:framePr w:w="1009" w:hAnchor="page" w:vAnchor="page" w:x="6613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(20,492)</w:t>
      </w:r>
    </w:p>
    <w:p>
      <w:pPr>
        <w:pStyle w:val="Normal"/>
        <w:framePr w:w="1009" w:hAnchor="page" w:vAnchor="page" w:x="7913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(16,940)</w:t>
      </w:r>
    </w:p>
    <w:p>
      <w:pPr>
        <w:pStyle w:val="Normal"/>
        <w:framePr w:w="1123" w:hAnchor="page" w:vAnchor="page" w:x="9119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(573,440)</w:t>
      </w:r>
    </w:p>
    <w:p>
      <w:pPr>
        <w:pStyle w:val="Normal"/>
        <w:framePr w:w="1009" w:hAnchor="page" w:vAnchor="page" w:x="10615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(51,790)</w:t>
      </w:r>
    </w:p>
    <w:p>
      <w:pPr>
        <w:pStyle w:val="Normal"/>
        <w:framePr w:w="2792" w:hAnchor="page" w:vAnchor="page" w:x="965" w:y="6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Other operating income, net</w:t>
      </w:r>
    </w:p>
    <w:p>
      <w:pPr>
        <w:pStyle w:val="Normal"/>
        <w:framePr w:w="628" w:hAnchor="page" w:vAnchor="page" w:x="6930" w:y="6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265 </w:t>
      </w:r>
    </w:p>
    <w:p>
      <w:pPr>
        <w:pStyle w:val="Normal"/>
        <w:framePr w:w="799" w:hAnchor="page" w:vAnchor="page" w:x="8088" w:y="6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5,462 </w:t>
      </w:r>
    </w:p>
    <w:p>
      <w:pPr>
        <w:pStyle w:val="Normal"/>
        <w:framePr w:w="628" w:hAnchor="page" w:vAnchor="page" w:x="9531" w:y="6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822 </w:t>
      </w:r>
    </w:p>
    <w:p>
      <w:pPr>
        <w:pStyle w:val="Normal"/>
        <w:framePr w:w="914" w:hAnchor="page" w:vAnchor="page" w:x="10694" w:y="6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13,283 </w:t>
      </w:r>
    </w:p>
    <w:p>
      <w:pPr>
        <w:pStyle w:val="Normal"/>
        <w:framePr w:w="2633" w:hAnchor="page" w:vAnchor="page" w:x="965" w:y="58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Total operating expenses</w:t>
      </w:r>
    </w:p>
    <w:p>
      <w:pPr>
        <w:pStyle w:val="Normal"/>
        <w:framePr w:w="857" w:hAnchor="page" w:vAnchor="page" w:x="6692" w:y="5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20,757</w:t>
      </w:r>
    </w:p>
    <w:p>
      <w:pPr>
        <w:pStyle w:val="Normal"/>
        <w:framePr w:w="857" w:hAnchor="page" w:vAnchor="page" w:x="7993" w:y="5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22,622</w:t>
      </w:r>
    </w:p>
    <w:p>
      <w:pPr>
        <w:pStyle w:val="Normal"/>
        <w:framePr w:w="971" w:hAnchor="page" w:vAnchor="page" w:x="9198" w:y="5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574,262</w:t>
      </w:r>
    </w:p>
    <w:p>
      <w:pPr>
        <w:pStyle w:val="Normal"/>
        <w:framePr w:w="857" w:hAnchor="page" w:vAnchor="page" w:x="10694" w:y="5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65,778</w:t>
      </w:r>
    </w:p>
    <w:p>
      <w:pPr>
        <w:pStyle w:val="Normal"/>
        <w:framePr w:w="2703" w:hAnchor="page" w:vAnchor="page" w:x="1100" w:y="56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General and administrative</w:t>
      </w:r>
    </w:p>
    <w:p>
      <w:pPr>
        <w:pStyle w:val="Normal"/>
        <w:framePr w:w="799" w:hAnchor="page" w:vAnchor="page" w:x="6787" w:y="56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5,434 </w:t>
      </w:r>
    </w:p>
    <w:p>
      <w:pPr>
        <w:pStyle w:val="Normal"/>
        <w:framePr w:w="799" w:hAnchor="page" w:vAnchor="page" w:x="8088" w:y="56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5,573 </w:t>
      </w:r>
    </w:p>
    <w:p>
      <w:pPr>
        <w:pStyle w:val="Normal"/>
        <w:framePr w:w="914" w:hAnchor="page" w:vAnchor="page" w:x="9293" w:y="56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18,690 </w:t>
      </w:r>
    </w:p>
    <w:p>
      <w:pPr>
        <w:pStyle w:val="Normal"/>
        <w:framePr w:w="914" w:hAnchor="page" w:vAnchor="page" w:x="10694" w:y="56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19,165 </w:t>
      </w:r>
    </w:p>
    <w:p>
      <w:pPr>
        <w:pStyle w:val="Normal"/>
        <w:framePr w:w="3624" w:hAnchor="page" w:vAnchor="page" w:x="1100" w:y="54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In-process research and development</w:t>
      </w:r>
    </w:p>
    <w:p>
      <w:pPr>
        <w:pStyle w:val="Normal"/>
        <w:framePr w:w="514" w:hAnchor="page" w:vAnchor="page" w:x="7025" w:y="54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514" w:hAnchor="page" w:vAnchor="page" w:x="8326" w:y="54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1028" w:hAnchor="page" w:vAnchor="page" w:x="9198" w:y="54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520,915 </w:t>
      </w:r>
    </w:p>
    <w:p>
      <w:pPr>
        <w:pStyle w:val="Normal"/>
        <w:framePr w:w="514" w:hAnchor="page" w:vAnchor="page" w:x="11027" w:y="54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2691" w:hAnchor="page" w:vAnchor="page" w:x="1100" w:y="5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Research and development</w:t>
      </w:r>
    </w:p>
    <w:p>
      <w:pPr>
        <w:pStyle w:val="Normal"/>
        <w:framePr w:w="914" w:hAnchor="page" w:vAnchor="page" w:x="6692" w:y="5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15,323 </w:t>
      </w:r>
    </w:p>
    <w:p>
      <w:pPr>
        <w:pStyle w:val="Normal"/>
        <w:framePr w:w="914" w:hAnchor="page" w:vAnchor="page" w:x="7993" w:y="5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17,049 </w:t>
      </w:r>
    </w:p>
    <w:p>
      <w:pPr>
        <w:pStyle w:val="Normal"/>
        <w:framePr w:w="914" w:hAnchor="page" w:vAnchor="page" w:x="9293" w:y="5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34,657 </w:t>
      </w:r>
    </w:p>
    <w:p>
      <w:pPr>
        <w:pStyle w:val="Normal"/>
        <w:framePr w:w="914" w:hAnchor="page" w:vAnchor="page" w:x="10694" w:y="5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46,613 </w:t>
      </w:r>
    </w:p>
    <w:p>
      <w:pPr>
        <w:pStyle w:val="Normal"/>
        <w:framePr w:w="2215" w:hAnchor="page" w:vAnchor="page" w:x="965" w:y="49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Operating expenses:</w:t>
      </w:r>
    </w:p>
    <w:p>
      <w:pPr>
        <w:pStyle w:val="Normal"/>
        <w:framePr w:w="1066" w:hAnchor="page" w:vAnchor="page" w:x="965" w:y="46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Revenue</w:t>
      </w:r>
    </w:p>
    <w:p>
      <w:pPr>
        <w:pStyle w:val="Normal"/>
        <w:framePr w:w="342" w:hAnchor="page" w:vAnchor="page" w:x="6182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514" w:hAnchor="page" w:vAnchor="page" w:x="7025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342" w:hAnchor="page" w:vAnchor="page" w:x="7468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628" w:hAnchor="page" w:vAnchor="page" w:x="8231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220 </w:t>
      </w:r>
    </w:p>
    <w:p>
      <w:pPr>
        <w:pStyle w:val="Normal"/>
        <w:framePr w:w="342" w:hAnchor="page" w:vAnchor="page" w:x="8769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514" w:hAnchor="page" w:vAnchor="page" w:x="9627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— </w:t>
      </w:r>
    </w:p>
    <w:p>
      <w:pPr>
        <w:pStyle w:val="Normal"/>
        <w:framePr w:w="342" w:hAnchor="page" w:vAnchor="page" w:x="10169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628" w:hAnchor="page" w:vAnchor="page" w:x="10932" w:y="46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705 </w:t>
      </w:r>
    </w:p>
    <w:p>
      <w:pPr>
        <w:pStyle w:val="Normal"/>
        <w:framePr w:w="685" w:hAnchor="page" w:vAnchor="page" w:x="6537" w:y="44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2023</w:t>
      </w:r>
    </w:p>
    <w:p>
      <w:pPr>
        <w:pStyle w:val="Normal"/>
        <w:framePr w:w="685" w:hAnchor="page" w:vAnchor="page" w:x="7830" w:y="44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2022</w:t>
      </w:r>
    </w:p>
    <w:p>
      <w:pPr>
        <w:pStyle w:val="Normal"/>
        <w:framePr w:w="685" w:hAnchor="page" w:vAnchor="page" w:x="9131" w:y="44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2023</w:t>
      </w:r>
    </w:p>
    <w:p>
      <w:pPr>
        <w:pStyle w:val="Normal"/>
        <w:framePr w:w="685" w:hAnchor="page" w:vAnchor="page" w:x="10532" w:y="44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2022</w:t>
      </w:r>
    </w:p>
    <w:p>
      <w:pPr>
        <w:pStyle w:val="Normal"/>
        <w:framePr w:w="1625" w:hAnchor="page" w:vAnchor="page" w:x="6796" w:y="41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September 30,</w:t>
      </w:r>
    </w:p>
    <w:p>
      <w:pPr>
        <w:pStyle w:val="Normal"/>
        <w:framePr w:w="1625" w:hAnchor="page" w:vAnchor="page" w:x="9440" w:y="41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September 30,</w:t>
      </w:r>
    </w:p>
    <w:p>
      <w:pPr>
        <w:pStyle w:val="Normal"/>
        <w:framePr w:w="2307" w:hAnchor="page" w:vAnchor="page" w:x="6511" w:y="39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Three Months Ended</w:t>
      </w:r>
    </w:p>
    <w:p>
      <w:pPr>
        <w:pStyle w:val="Normal"/>
        <w:framePr w:w="2184" w:hAnchor="page" w:vAnchor="page" w:x="9207" w:y="39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Nine Months Ended</w:t>
      </w:r>
    </w:p>
    <w:p>
      <w:pPr>
        <w:pStyle w:val="Normal"/>
        <w:framePr w:w="3691" w:hAnchor="page" w:vAnchor="page" w:x="4677" w:y="36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In thousands, except per share data</w:t>
      </w:r>
    </w:p>
    <w:p>
      <w:pPr>
        <w:pStyle w:val="Normal"/>
        <w:framePr w:w="1409" w:hAnchor="page" w:vAnchor="page" w:x="5628" w:y="34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(Unaudited)</w:t>
      </w:r>
    </w:p>
    <w:p>
      <w:pPr>
        <w:pStyle w:val="Normal"/>
        <w:framePr w:w="10366" w:hAnchor="page" w:vAnchor="page" w:x="1896" w:y="3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CONDENSED CONSOLIDATED STATEMENTS OF OPERATIONS AND COMPREHENSIVE LOSS</w:t>
      </w:r>
    </w:p>
    <w:p>
      <w:pPr>
        <w:pStyle w:val="Normal"/>
        <w:framePr w:w="3645" w:hAnchor="page" w:vAnchor="page" w:x="4696" w:y="300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SUMMIT THERAPEUTICS,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7pt;margin-top:1pt;z-index:-16776868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12.7pt;margin-top:567pt;z-index:-1677686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12.7pt;margin-top:567.7pt;z-index:-16776860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596.55pt;margin-top:567pt;z-index:-16776856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12.7pt;margin-top:567pt;z-index:-16776852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13.7pt;margin-top:14.85pt;z-index:-16776848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506.55pt;margin-top:499.8pt;z-index:-16776844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506.55pt;margin-top:501.95pt;z-index:-16776840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436.5pt;margin-top:499.8pt;z-index:-16776836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436.5pt;margin-top:501.95pt;z-index:-16776832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371.45pt;margin-top:499.8pt;z-index:-16776828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371.45pt;margin-top:501.95pt;z-index:-16776824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307.15pt;margin-top:499.8pt;z-index:-16776820;width:58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307.15pt;margin-top:501.95pt;z-index:-16776816;width:58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562.25pt;margin-top:499.8pt;z-index:-1677681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562.25pt;margin-top:501.95pt;z-index:-1677680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512.25pt;margin-top:486.95pt;z-index:-1677680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512.25pt;margin-top:499.8pt;z-index:-16776800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512.25pt;margin-top:501.95pt;z-index:-16776796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506.55pt;margin-top:499.8pt;z-index:-1677679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506.55pt;margin-top:501.95pt;z-index:-16776788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492.25pt;margin-top:499.8pt;z-index:-1677678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492.25pt;margin-top:501.95pt;z-index:-1677678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442.2pt;margin-top:486.95pt;z-index:-16776776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442.2pt;margin-top:499.8pt;z-index:-16776772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442.2pt;margin-top:501.95pt;z-index:-16776768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436.5pt;margin-top:499.8pt;z-index:-16776764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436.5pt;margin-top:501.95pt;z-index:-16776760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427.2pt;margin-top:499.8pt;z-index:-1677675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427.2pt;margin-top:501.95pt;z-index:-1677675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377.2pt;margin-top:486.95pt;z-index:-16776748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377.2pt;margin-top:499.8pt;z-index:-1677674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377.2pt;margin-top:501.95pt;z-index:-16776740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371.45pt;margin-top:499.8pt;z-index:-16776736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371.45pt;margin-top:501.95pt;z-index:-1677673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362.15pt;margin-top:499.8pt;z-index:-1677672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362.15pt;margin-top:501.95pt;z-index:-1677672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312.85pt;margin-top:486.95pt;z-index:-16776720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312.85pt;margin-top:499.8pt;z-index:-16776716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312.85pt;margin-top:501.95pt;z-index:-16776712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307.15pt;margin-top:499.8pt;z-index:-16776708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307.15pt;margin-top:501.95pt;z-index:-16776704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562.25pt;margin-top:486.95pt;z-index:-1677670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506.55pt;margin-top:486.95pt;z-index:-16776696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492.25pt;margin-top:486.95pt;z-index:-1677669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436.5pt;margin-top:486.95pt;z-index:-16776688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427.2pt;margin-top:486.95pt;z-index:-1677668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371.45pt;margin-top:486.95pt;z-index:-16776680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362.15pt;margin-top:486.95pt;z-index:-1677667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307.15pt;margin-top:486.95pt;z-index:-16776672;width:57.0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506.55pt;margin-top:355.45pt;z-index:-16776668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506.55pt;margin-top:357.6pt;z-index:-16776664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436.5pt;margin-top:355.45pt;z-index:-16776660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436.5pt;margin-top:357.6pt;z-index:-16776656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371.45pt;margin-top:355.45pt;z-index:-16776652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371.45pt;margin-top:357.6pt;z-index:-16776648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307.15pt;margin-top:355.45pt;z-index:-16776644;width:58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307.15pt;margin-top:357.6pt;z-index:-16776640;width:58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562.25pt;margin-top:342.6pt;z-index:-1677663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562.25pt;margin-top:355.45pt;z-index:-1677663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562.25pt;margin-top:357.6pt;z-index:-1677662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512.25pt;margin-top:342.6pt;z-index:-1677662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512.25pt;margin-top:355.45pt;z-index:-16776620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512.25pt;margin-top:357.6pt;z-index:-16776616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506.55pt;margin-top:342.6pt;z-index:-1677661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506.55pt;margin-top:355.45pt;z-index:-16776608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506.55pt;margin-top:357.6pt;z-index:-16776604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492.25pt;margin-top:342.6pt;z-index:-1677660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492.25pt;margin-top:355.45pt;z-index:-1677659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492.25pt;margin-top:357.6pt;z-index:-1677659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442.2pt;margin-top:342.6pt;z-index:-16776588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442.2pt;margin-top:355.45pt;z-index:-1677658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442.2pt;margin-top:357.6pt;z-index:-16776580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436.5pt;margin-top:342.6pt;z-index:-16776576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436.5pt;margin-top:355.45pt;z-index:-1677657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436.5pt;margin-top:357.6pt;z-index:-16776568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427.2pt;margin-top:342.6pt;z-index:-1677656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427.2pt;margin-top:355.45pt;z-index:-1677656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427.2pt;margin-top:357.6pt;z-index:-1677655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377.2pt;margin-top:342.6pt;z-index:-16776552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377.2pt;margin-top:355.45pt;z-index:-16776548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377.2pt;margin-top:357.6pt;z-index:-1677654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371.45pt;margin-top:342.6pt;z-index:-16776540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371.45pt;margin-top:355.45pt;z-index:-16776536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371.45pt;margin-top:357.6pt;z-index:-1677653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362.15pt;margin-top:342.6pt;z-index:-1677652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362.15pt;margin-top:355.45pt;z-index:-1677652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362.15pt;margin-top:357.6pt;z-index:-1677652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312.85pt;margin-top:342.6pt;z-index:-16776516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312.85pt;margin-top:355.45pt;z-index:-16776512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312.85pt;margin-top:357.6pt;z-index:-16776508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307.15pt;margin-top:342.6pt;z-index:-16776504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307.15pt;margin-top:355.45pt;z-index:-16776500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307.15pt;margin-top:357.6pt;z-index:-16776496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562.25pt;margin-top:317.6pt;z-index:-1677649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506.55pt;margin-top:317.6pt;z-index:-16776488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492.25pt;margin-top:317.6pt;z-index:-1677648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436.5pt;margin-top:317.6pt;z-index:-16776480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427.2pt;margin-top:317.6pt;z-index:-1677647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371.45pt;margin-top:317.6pt;z-index:-16776472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362.15pt;margin-top:317.6pt;z-index:-1677646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307.15pt;margin-top:317.6pt;z-index:-16776464;width:57.0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562.25pt;margin-top:292.55pt;z-index:-1677646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506.55pt;margin-top:292.55pt;z-index:-16776456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492.25pt;margin-top:292.55pt;z-index:-1677645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436.5pt;margin-top:292.55pt;z-index:-16776448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427.2pt;margin-top:292.55pt;z-index:-1677644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371.45pt;margin-top:292.55pt;z-index:-16776440;width:5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362.15pt;margin-top:292.55pt;z-index:-1677643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307.15pt;margin-top:292.55pt;z-index:-16776432;width:57.0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562.25pt;margin-top:231.1pt;z-index:-1677642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512.25pt;margin-top:231.1pt;z-index:-16776424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492.25pt;margin-top:231.1pt;z-index:-16776420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442.2pt;margin-top:231.1pt;z-index:-16776416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427.2pt;margin-top:231.1pt;z-index:-1677641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377.2pt;margin-top:231.1pt;z-index:-16776408;width:5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362.15pt;margin-top:231.1pt;z-index:-1677640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312.85pt;margin-top:231.1pt;z-index:-16776400;width:51.3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506.55pt;margin-top:218.25pt;z-index:-16776396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506.55pt;margin-top:231.1pt;z-index:-16776392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493.65pt;margin-top:218.25pt;z-index:-16776388;width:14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493.65pt;margin-top:231.1pt;z-index:-16776384;width:14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436.5pt;margin-top:231.1pt;z-index:-16776380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371.45pt;margin-top:218.25pt;z-index:-16776376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371.45pt;margin-top:231.1pt;z-index:-16776372;width:59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363.6pt;margin-top:218.25pt;z-index:-16776368;width:9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363.6pt;margin-top:231.1pt;z-index:-16776364;width:9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307.15pt;margin-top:231.1pt;z-index:-16776360;width:58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436.5pt;margin-top:218.25pt;z-index:-16776356;width:129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307.15pt;margin-top:218.25pt;z-index:-16776352;width:123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</w:p>
    <w:p>
      <w:pPr>
        <w:pStyle w:val="Normal"/>
        <w:framePr w:w="4918" w:hAnchor="page" w:vAnchor="page" w:x="1444" w:y="81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(Decrease) increase in cash and cash equivalents</w:t>
      </w:r>
    </w:p>
    <w:p>
      <w:pPr>
        <w:pStyle w:val="Normal"/>
        <w:framePr w:w="342" w:hAnchor="page" w:vAnchor="page" w:x="7132" w:y="81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123" w:hAnchor="page" w:vAnchor="page" w:x="8111" w:y="81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(624,815)</w:t>
      </w:r>
    </w:p>
    <w:p>
      <w:pPr>
        <w:pStyle w:val="Normal"/>
        <w:framePr w:w="342" w:hAnchor="page" w:vAnchor="page" w:x="9062" w:y="81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914" w:hAnchor="page" w:vAnchor="page" w:x="10215" w:y="810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50,180 </w:t>
      </w:r>
    </w:p>
    <w:p>
      <w:pPr>
        <w:pStyle w:val="Normal"/>
        <w:framePr w:w="4088" w:hAnchor="page" w:vAnchor="page" w:x="1444" w:y="76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Effect of exchange rate changes on cash</w:t>
      </w:r>
    </w:p>
    <w:p>
      <w:pPr>
        <w:pStyle w:val="Normal"/>
        <w:framePr w:w="628" w:hAnchor="page" w:vAnchor="page" w:x="8524" w:y="76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567 </w:t>
      </w:r>
    </w:p>
    <w:p>
      <w:pPr>
        <w:pStyle w:val="Normal"/>
        <w:framePr w:w="895" w:hAnchor="page" w:vAnchor="page" w:x="10231" w:y="76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(2,597)</w:t>
      </w:r>
    </w:p>
    <w:p>
      <w:pPr>
        <w:pStyle w:val="Normal"/>
        <w:framePr w:w="2631" w:hAnchor="page" w:vAnchor="page" w:x="1444" w:y="73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Net cash provided by</w:t>
      </w:r>
    </w:p>
    <w:p>
      <w:pPr>
        <w:pStyle w:val="Normal"/>
        <w:framePr w:w="2120" w:hAnchor="page" w:vAnchor="page" w:x="3160" w:y="73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 xml:space="preserve"> financing activities</w:t>
      </w:r>
    </w:p>
    <w:p>
      <w:pPr>
        <w:pStyle w:val="Normal"/>
        <w:framePr w:w="914" w:hAnchor="page" w:vAnchor="page" w:x="8286" w:y="73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80,261 </w:t>
      </w:r>
    </w:p>
    <w:p>
      <w:pPr>
        <w:pStyle w:val="Normal"/>
        <w:framePr w:w="1028" w:hAnchor="page" w:vAnchor="page" w:x="10120" w:y="73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100,184 </w:t>
      </w:r>
    </w:p>
    <w:p>
      <w:pPr>
        <w:pStyle w:val="Normal"/>
        <w:framePr w:w="3663" w:hAnchor="page" w:vAnchor="page" w:x="1444" w:y="7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Net cash used in investing activities</w:t>
      </w:r>
    </w:p>
    <w:p>
      <w:pPr>
        <w:pStyle w:val="Normal"/>
        <w:framePr w:w="1123" w:hAnchor="page" w:vAnchor="page" w:x="8111" w:y="7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(648,342)</w:t>
      </w:r>
    </w:p>
    <w:p>
      <w:pPr>
        <w:pStyle w:val="Normal"/>
        <w:framePr w:w="723" w:hAnchor="page" w:vAnchor="page" w:x="10374" w:y="714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(634)</w:t>
      </w:r>
    </w:p>
    <w:p>
      <w:pPr>
        <w:pStyle w:val="Normal"/>
        <w:framePr w:w="3727" w:hAnchor="page" w:vAnchor="page" w:x="1444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Net cash used in operating activities</w:t>
      </w:r>
    </w:p>
    <w:p>
      <w:pPr>
        <w:pStyle w:val="Normal"/>
        <w:framePr w:w="342" w:hAnchor="page" w:vAnchor="page" w:x="7132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8206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(57,301)</w:t>
      </w:r>
    </w:p>
    <w:p>
      <w:pPr>
        <w:pStyle w:val="Normal"/>
        <w:framePr w:w="342" w:hAnchor="page" w:vAnchor="page" w:x="9062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09" w:hAnchor="page" w:vAnchor="page" w:x="10136" w:y="69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(46,773)</w:t>
      </w:r>
    </w:p>
    <w:p>
      <w:pPr>
        <w:pStyle w:val="Normal"/>
        <w:framePr w:w="685" w:hAnchor="page" w:vAnchor="page" w:x="7809" w:y="64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2023</w:t>
      </w:r>
    </w:p>
    <w:p>
      <w:pPr>
        <w:pStyle w:val="Normal"/>
        <w:framePr w:w="685" w:hAnchor="page" w:vAnchor="page" w:x="9738" w:y="643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2022</w:t>
      </w:r>
    </w:p>
    <w:p>
      <w:pPr>
        <w:pStyle w:val="Normal"/>
        <w:framePr w:w="3638" w:hAnchor="page" w:vAnchor="page" w:x="7543" w:y="618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Nine Months Ended September 30,</w:t>
      </w:r>
    </w:p>
    <w:p>
      <w:pPr>
        <w:pStyle w:val="Normal"/>
        <w:framePr w:w="1492" w:hAnchor="page" w:vAnchor="page" w:x="5593" w:y="56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In thousands</w:t>
      </w:r>
    </w:p>
    <w:p>
      <w:pPr>
        <w:pStyle w:val="Normal"/>
        <w:framePr w:w="1409" w:hAnchor="page" w:vAnchor="page" w:x="5628" w:y="54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(Unaudited)</w:t>
      </w:r>
    </w:p>
    <w:p>
      <w:pPr>
        <w:pStyle w:val="Normal"/>
        <w:framePr w:w="8835" w:hAnchor="page" w:vAnchor="page" w:x="2534" w:y="53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CONDENSED CONSOLIDATED STATEMENTS OF CASH FLOWS INFORMATION</w:t>
      </w:r>
    </w:p>
    <w:p>
      <w:pPr>
        <w:pStyle w:val="Normal"/>
        <w:framePr w:w="3090" w:hAnchor="page" w:vAnchor="page" w:x="1094" w:y="44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Total stockholders' equity</w:t>
      </w:r>
    </w:p>
    <w:p>
      <w:pPr>
        <w:pStyle w:val="Normal"/>
        <w:framePr w:w="342" w:hAnchor="page" w:vAnchor="page" w:x="6796" w:y="44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914" w:hAnchor="page" w:vAnchor="page" w:x="8293" w:y="44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99,379 </w:t>
      </w:r>
    </w:p>
    <w:p>
      <w:pPr>
        <w:pStyle w:val="Normal"/>
        <w:framePr w:w="342" w:hAnchor="page" w:vAnchor="page" w:x="9069" w:y="44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10470" w:y="44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126,654 </w:t>
      </w:r>
    </w:p>
    <w:p>
      <w:pPr>
        <w:pStyle w:val="Normal"/>
        <w:framePr w:w="1674" w:hAnchor="page" w:vAnchor="page" w:x="1094" w:y="4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Total liabilities</w:t>
      </w:r>
    </w:p>
    <w:p>
      <w:pPr>
        <w:pStyle w:val="Normal"/>
        <w:framePr w:w="342" w:hAnchor="page" w:vAnchor="page" w:x="6796" w:y="4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0" w:hAnchor="page" w:vAnchor="page" w:x="8205" w:y="4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119,097 </w:t>
      </w:r>
    </w:p>
    <w:p>
      <w:pPr>
        <w:pStyle w:val="Normal"/>
        <w:framePr w:w="342" w:hAnchor="page" w:vAnchor="page" w:x="9069" w:y="4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10470" w:y="4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537,514 </w:t>
      </w:r>
    </w:p>
    <w:p>
      <w:pPr>
        <w:pStyle w:val="Normal"/>
        <w:framePr w:w="1344" w:hAnchor="page" w:vAnchor="page" w:x="1094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Total assets</w:t>
      </w:r>
    </w:p>
    <w:p>
      <w:pPr>
        <w:pStyle w:val="Normal"/>
        <w:framePr w:w="342" w:hAnchor="page" w:vAnchor="page" w:x="6796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8198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218,476 </w:t>
      </w:r>
    </w:p>
    <w:p>
      <w:pPr>
        <w:pStyle w:val="Normal"/>
        <w:framePr w:w="342" w:hAnchor="page" w:vAnchor="page" w:x="9069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10470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664,168 </w:t>
      </w:r>
    </w:p>
    <w:p>
      <w:pPr>
        <w:pStyle w:val="Normal"/>
        <w:framePr w:w="4837" w:hAnchor="page" w:vAnchor="page" w:x="1094" w:y="37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Cash, Restricted Cash, Short-term Investments</w:t>
      </w:r>
    </w:p>
    <w:p>
      <w:pPr>
        <w:pStyle w:val="Normal"/>
        <w:framePr w:w="342" w:hAnchor="page" w:vAnchor="page" w:x="6796" w:y="37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8198" w:y="37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198,945 </w:t>
      </w:r>
    </w:p>
    <w:p>
      <w:pPr>
        <w:pStyle w:val="Normal"/>
        <w:framePr w:w="342" w:hAnchor="page" w:vAnchor="page" w:x="9069" w:y="37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$</w:t>
      </w:r>
    </w:p>
    <w:p>
      <w:pPr>
        <w:pStyle w:val="Normal"/>
        <w:framePr w:w="1028" w:hAnchor="page" w:vAnchor="page" w:x="10470" w:y="374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648,607 </w:t>
      </w:r>
    </w:p>
    <w:p>
      <w:pPr>
        <w:pStyle w:val="Normal"/>
        <w:framePr w:w="2139" w:hAnchor="page" w:vAnchor="page" w:x="7039" w:y="3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September 30, 2023</w:t>
      </w:r>
    </w:p>
    <w:p>
      <w:pPr>
        <w:pStyle w:val="Normal"/>
        <w:framePr w:w="2075" w:hAnchor="page" w:vAnchor="page" w:x="9338" w:y="32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December 31, 2022</w:t>
      </w:r>
    </w:p>
    <w:p>
      <w:pPr>
        <w:pStyle w:val="Normal"/>
        <w:framePr w:w="1492" w:hAnchor="page" w:vAnchor="page" w:x="5593" w:y="28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In thousands</w:t>
      </w:r>
    </w:p>
    <w:p>
      <w:pPr>
        <w:pStyle w:val="Normal"/>
        <w:framePr w:w="1409" w:hAnchor="page" w:vAnchor="page" w:x="5628" w:y="265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(Unaudited)</w:t>
      </w:r>
    </w:p>
    <w:p>
      <w:pPr>
        <w:pStyle w:val="Normal"/>
        <w:framePr w:w="7294" w:hAnchor="page" w:vAnchor="page" w:x="3176" w:y="247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CONDENSED CONSOLIDATED BALANCE SHEET INFORMATION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7pt;margin-top:1pt;z-index:-16776348;width:598pt;height:496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13.7pt;margin-top:14.85pt;z-index:-16776344;width:133.65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332.85pt;margin-top:209.65pt;z-index:-16776340;width:7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332.85pt;margin-top:221.8pt;z-index:-16776336;width:7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451.5pt;margin-top:171.8pt;z-index:-16776332;width:10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337.85pt;margin-top:171.8pt;z-index:-16776328;width:107.7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355pt;margin-top:343.3pt;z-index:-16776324;width:7.7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360.75pt;margin-top:343.3pt;z-index:-16776320;width:8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442.2pt;margin-top:343.3pt;z-index:-16776316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443.65pt;margin-top:343.3pt;z-index:-16776312;width:9.8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451.5pt;margin-top:343.3pt;z-index:-16776308;width:7.7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457.2pt;margin-top:343.3pt;z-index:-16776304;width:8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538.7pt;margin-top:343.3pt;z-index:-16776300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355pt;margin-top:355.45pt;z-index:-16776296;width:89.2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442.2pt;margin-top:355.45pt;z-index:-16776292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443.65pt;margin-top:355.45pt;z-index:-16776288;width:9.8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451.5pt;margin-top:355.45pt;z-index:-16776284;width:89.2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538.7pt;margin-top:355.45pt;z-index:-16776280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355pt;margin-top:367.6pt;z-index:-16776276;width:89.2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442.2pt;margin-top:367.6pt;z-index:-16776272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443.65pt;margin-top:367.6pt;z-index:-16776268;width:9.8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451.5pt;margin-top:367.6pt;z-index:-16776264;width:89.2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538.7pt;margin-top:367.6pt;z-index:-16776260;width:3.4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443.65pt;margin-top:379.75pt;z-index:-16776256;width:9.85pt;height:14.1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355pt;margin-top:391.9pt;z-index:-16776252;width:90.6pt;height:1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443.65pt;margin-top:391.9pt;z-index:-16776248;width:9.85pt;height:1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451.5pt;margin-top:391.9pt;z-index:-16776244;width:90.6pt;height:1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355pt;margin-top:403.35pt;z-index:-16776240;width:7.7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360.75pt;margin-top:403.35pt;z-index:-16776236;width:83.45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442.2pt;margin-top:403.35pt;z-index:-16776232;width:3.45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443.65pt;margin-top:403.35pt;z-index:-16776228;width:9.85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451.5pt;margin-top:403.35pt;z-index:-16776224;width:7.7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457.2pt;margin-top:403.35pt;z-index:-16776220;width:83.45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538.7pt;margin-top:403.35pt;z-index:-16776216;width:3.45pt;height:1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538.7pt;margin-top:415.5pt;z-index:-16776212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538.7pt;margin-top:417.65pt;z-index:-1677620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457.2pt;margin-top:415.5pt;z-index:-16776204;width:8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457.2pt;margin-top:417.65pt;z-index:-16776200;width:8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451.5pt;margin-top:415.5pt;z-index:-16776196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451.5pt;margin-top:417.65pt;z-index:-1677619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442.2pt;margin-top:415.5pt;z-index:-1677618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442.2pt;margin-top:417.65pt;z-index:-16776184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360.75pt;margin-top:415.5pt;z-index:-16776180;width:8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360.75pt;margin-top:417.65pt;z-index:-16776176;width:8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355pt;margin-top:415.5pt;z-index:-1677617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355pt;margin-top:417.65pt;z-index:-16776168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451.5pt;margin-top:391.9pt;z-index:-16776164;width:9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355pt;margin-top:391.9pt;z-index:-16776160;width:9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538.7pt;margin-top:391.9pt;z-index:-16776156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451.5pt;margin-top:391.9pt;z-index:-16776152;width:89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442.2pt;margin-top:391.9pt;z-index:-16776148;width:3.4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355pt;margin-top:391.9pt;z-index:-16776144;width:89.2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451.5pt;margin-top:331.85pt;z-index:-16776140;width:9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355pt;margin-top:331.85pt;z-index:-16776136;width:9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</w:p>
    <w:sectPr>
      <w:pgSz w:w="12240" w:h="20160"/>
      <w:pgMar w:top="400" w:right="400" w:bottom="400" w:left="400" w:header="720" w:footer="720"/>
      <w:pgNumType w:start="10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be00ae22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b520054c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caef09bc-0000-0000-0000-000000000000}"/>
  </w:font>
  <w:font w:name="ArialMT">
    <w:panose-1>"020b0604020202020204"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90148000-0000-0000-0000-000000000000}"/>
  </w:font>
  <w:font w:name="Arial-BoldMT">
    <w:panose-1>"020b0704020202020204"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6" w:fontKey="{b4f9ba28-0000-0000-0000-000000000000}"/>
  </w:font>
  <w:font w:name="Arial-ItalicMT">
    <w:panose-1>"020b0604020202090204"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7" w:fontKey="{7dcca9a1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1" Target="media/image101.png" Type="http://schemas.openxmlformats.org/officeDocument/2006/relationships/image"/><Relationship Id="rId102" Target="media/image102.png" Type="http://schemas.openxmlformats.org/officeDocument/2006/relationships/image"/><Relationship Id="rId103" Target="media/image103.png" Type="http://schemas.openxmlformats.org/officeDocument/2006/relationships/image"/><Relationship Id="rId104" Target="media/image104.png" Type="http://schemas.openxmlformats.org/officeDocument/2006/relationships/image"/><Relationship Id="rId105" Target="media/image105.png" Type="http://schemas.openxmlformats.org/officeDocument/2006/relationships/image"/><Relationship Id="rId106" Target="media/image106.png" Type="http://schemas.openxmlformats.org/officeDocument/2006/relationships/image"/><Relationship Id="rId107" Target="media/image107.png" Type="http://schemas.openxmlformats.org/officeDocument/2006/relationships/image"/><Relationship Id="rId108" Target="media/image108.png" Type="http://schemas.openxmlformats.org/officeDocument/2006/relationships/image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styles.xml" Type="http://schemas.openxmlformats.org/officeDocument/2006/relationships/styles"/><Relationship Id="rId272" Target="fontTable.xml" Type="http://schemas.openxmlformats.org/officeDocument/2006/relationships/fontTable"/><Relationship Id="rId273" Target="settings.xml" Type="http://schemas.openxmlformats.org/officeDocument/2006/relationships/settings"/><Relationship Id="rId274" Target="webSettings.xml" Type="http://schemas.openxmlformats.org/officeDocument/2006/relationships/webSettings"/><Relationship Id="rId28" Target="media/image28.png" Type="http://schemas.openxmlformats.org/officeDocument/2006/relationships/image"/><Relationship Id="rId29" Target="media/image2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1" Target="media/image31.png" Type="http://schemas.openxmlformats.org/officeDocument/2006/relationships/image"/><Relationship Id="rId32" Target="media/image32.png" Type="http://schemas.openxmlformats.org/officeDocument/2006/relationships/image"/><Relationship Id="rId33" Target="media/image33.png" Type="http://schemas.openxmlformats.org/officeDocument/2006/relationships/image"/><Relationship Id="rId34" Target="media/image34.png" Type="http://schemas.openxmlformats.org/officeDocument/2006/relationships/image"/><Relationship Id="rId35" Target="media/image35.png" Type="http://schemas.openxmlformats.org/officeDocument/2006/relationships/image"/><Relationship Id="rId36" Target="media/image36.png" Type="http://schemas.openxmlformats.org/officeDocument/2006/relationships/image"/><Relationship Id="rId37" Target="media/image37.png" Type="http://schemas.openxmlformats.org/officeDocument/2006/relationships/image"/><Relationship Id="rId38" Target="media/image38.png" Type="http://schemas.openxmlformats.org/officeDocument/2006/relationships/image"/><Relationship Id="rId39" Target="media/image3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1" Target="media/image41.png" Type="http://schemas.openxmlformats.org/officeDocument/2006/relationships/image"/><Relationship Id="rId42" Target="media/image42.png" Type="http://schemas.openxmlformats.org/officeDocument/2006/relationships/image"/><Relationship Id="rId43" Target="media/image43.png" Type="http://schemas.openxmlformats.org/officeDocument/2006/relationships/image"/><Relationship Id="rId44" Target="media/image44.png" Type="http://schemas.openxmlformats.org/officeDocument/2006/relationships/image"/><Relationship Id="rId45" Target="media/image45.png" Type="http://schemas.openxmlformats.org/officeDocument/2006/relationships/image"/><Relationship Id="rId46" Target="media/image46.png" Type="http://schemas.openxmlformats.org/officeDocument/2006/relationships/image"/><Relationship Id="rId47" Target="media/image47.png" Type="http://schemas.openxmlformats.org/officeDocument/2006/relationships/image"/><Relationship Id="rId48" Target="media/image48.png" Type="http://schemas.openxmlformats.org/officeDocument/2006/relationships/image"/><Relationship Id="rId49" Target="media/image4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1" Target="media/image51.png" Type="http://schemas.openxmlformats.org/officeDocument/2006/relationships/image"/><Relationship Id="rId52" Target="media/image52.png" Type="http://schemas.openxmlformats.org/officeDocument/2006/relationships/image"/><Relationship Id="rId53" Target="media/image53.png" Type="http://schemas.openxmlformats.org/officeDocument/2006/relationships/image"/><Relationship Id="rId54" Target="media/image54.png" Type="http://schemas.openxmlformats.org/officeDocument/2006/relationships/image"/><Relationship Id="rId55" Target="media/image55.png" Type="http://schemas.openxmlformats.org/officeDocument/2006/relationships/image"/><Relationship Id="rId56" Target="media/image56.png" Type="http://schemas.openxmlformats.org/officeDocument/2006/relationships/image"/><Relationship Id="rId57" Target="media/image57.png" Type="http://schemas.openxmlformats.org/officeDocument/2006/relationships/image"/><Relationship Id="rId58" Target="media/image58.png" Type="http://schemas.openxmlformats.org/officeDocument/2006/relationships/image"/><Relationship Id="rId59" Target="media/image5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1" Target="media/image61.png" Type="http://schemas.openxmlformats.org/officeDocument/2006/relationships/image"/><Relationship Id="rId62" Target="media/image62.png" Type="http://schemas.openxmlformats.org/officeDocument/2006/relationships/image"/><Relationship Id="rId63" Target="media/image63.png" Type="http://schemas.openxmlformats.org/officeDocument/2006/relationships/image"/><Relationship Id="rId64" Target="media/image64.png" Type="http://schemas.openxmlformats.org/officeDocument/2006/relationships/image"/><Relationship Id="rId65" Target="media/image65.png" Type="http://schemas.openxmlformats.org/officeDocument/2006/relationships/image"/><Relationship Id="rId66" Target="media/image66.png" Type="http://schemas.openxmlformats.org/officeDocument/2006/relationships/image"/><Relationship Id="rId67" Target="media/image67.png" Type="http://schemas.openxmlformats.org/officeDocument/2006/relationships/image"/><Relationship Id="rId68" Target="media/image68.png" Type="http://schemas.openxmlformats.org/officeDocument/2006/relationships/image"/><Relationship Id="rId69" Target="media/image6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1" Target="media/image71.png" Type="http://schemas.openxmlformats.org/officeDocument/2006/relationships/image"/><Relationship Id="rId72" Target="media/image72.png" Type="http://schemas.openxmlformats.org/officeDocument/2006/relationships/image"/><Relationship Id="rId73" Target="media/image73.png" Type="http://schemas.openxmlformats.org/officeDocument/2006/relationships/image"/><Relationship Id="rId74" Target="media/image74.png" Type="http://schemas.openxmlformats.org/officeDocument/2006/relationships/image"/><Relationship Id="rId75" Target="media/image75.png" Type="http://schemas.openxmlformats.org/officeDocument/2006/relationships/image"/><Relationship Id="rId76" Target="media/image76.png" Type="http://schemas.openxmlformats.org/officeDocument/2006/relationships/image"/><Relationship Id="rId77" Target="media/image77.png" Type="http://schemas.openxmlformats.org/officeDocument/2006/relationships/image"/><Relationship Id="rId78" Target="media/image78.png" Type="http://schemas.openxmlformats.org/officeDocument/2006/relationships/image"/><Relationship Id="rId79" Target="media/image7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1" Target="media/image81.png" Type="http://schemas.openxmlformats.org/officeDocument/2006/relationships/image"/><Relationship Id="rId82" Target="media/image82.png" Type="http://schemas.openxmlformats.org/officeDocument/2006/relationships/image"/><Relationship Id="rId83" Target="media/image83.png" Type="http://schemas.openxmlformats.org/officeDocument/2006/relationships/image"/><Relationship Id="rId84" Target="media/image84.png" Type="http://schemas.openxmlformats.org/officeDocument/2006/relationships/image"/><Relationship Id="rId85" Target="media/image85.png" Type="http://schemas.openxmlformats.org/officeDocument/2006/relationships/image"/><Relationship Id="rId86" Target="media/image86.png" Type="http://schemas.openxmlformats.org/officeDocument/2006/relationships/image"/><Relationship Id="rId87" Target="media/image87.png" Type="http://schemas.openxmlformats.org/officeDocument/2006/relationships/image"/><Relationship Id="rId88" Target="media/image88.png" Type="http://schemas.openxmlformats.org/officeDocument/2006/relationships/image"/><Relationship Id="rId89" Target="media/image8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1" Target="media/image91.png" Type="http://schemas.openxmlformats.org/officeDocument/2006/relationships/image"/><Relationship Id="rId92" Target="media/image92.png" Type="http://schemas.openxmlformats.org/officeDocument/2006/relationships/image"/><Relationship Id="rId93" Target="media/image93.png" Type="http://schemas.openxmlformats.org/officeDocument/2006/relationships/image"/><Relationship Id="rId94" Target="media/image94.png" Type="http://schemas.openxmlformats.org/officeDocument/2006/relationships/image"/><Relationship Id="rId95" Target="media/image95.png" Type="http://schemas.openxmlformats.org/officeDocument/2006/relationships/image"/><Relationship Id="rId96" Target="media/image96.png" Type="http://schemas.openxmlformats.org/officeDocument/2006/relationships/image"/><Relationship Id="rId97" Target="media/image97.png" Type="http://schemas.openxmlformats.org/officeDocument/2006/relationships/image"/><Relationship Id="rId98" Target="media/image98.png" Type="http://schemas.openxmlformats.org/officeDocument/2006/relationships/image"/><Relationship Id="rId99" Target="media/image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6" Target="fonts/font6.odttf" Type="http://schemas.openxmlformats.org/officeDocument/2006/relationships/font"/><Relationship Id="rId7" Target="fonts/font7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10</Pages>
  <Words>3169</Words>
  <Characters>17978</Characters>
  <Application>e-iceblue</Application>
  <DocSecurity>0</DocSecurity>
  <Lines>420</Lines>
  <Paragraphs>420</Paragraphs>
  <ScaleCrop>false</ScaleCrop>
  <Company>e-iceblue</Company>
  <LinksUpToDate>false</LinksUpToDate>
  <CharactersWithSpaces>21056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2023-11-07T13:15:26Z</dcterms:created>
  <dc:creator>root</dc:creator>
  <cp:lastModifiedBy>root</cp:lastModifiedBy>
  <dcterms:modified xsi:type="dcterms:W3CDTF">2023-11-07T13:15:26Z</dcterms:modified>
  <cp:revision>1</cp:revision>
</cp:coreProperties>
</file>