
<file path=[Content_Types].xml><?xml version="1.0" encoding="utf-8"?>
<Types xmlns="http://schemas.openxmlformats.org/package/2006/content-types"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pStyle w:val="Normal"/>
        <w:framePr w:x="0" w:y="10"/>
        <w:widowControl w:val="off"/>
        <w:autoSpaceDE w:val="off"/>
        <w:autoSpaceDN w:val="off"/>
        <w:spacing w:before="0" w:after="0" w:line="223" w:lineRule="exact"/>
        <w:ind w:left="0" w:right="0" w:first-line="0"/>
        <w:jc w:val="left"/>
        <w:rPr>
          <w:rFonts w:ascii="Arial" w:hAnsi="Arial" w:fareast="Arial" w:cs="Arial"/>
          <w:color w:val="ff0000"/>
          <w:sz w:val="20"/>
          <w:szCs w:val="20"/>
        </w:rPr>
      </w:pPr>
      <w:r>
        <w:rPr>
          <w:rFonts w:ascii="Arial" w:hAnsi="Arial" w:fareast="Arial" w:cs="Arial"/>
          <w:color w:val="ff0000"/>
          <w:sz w:val="20"/>
          <w:szCs w:val="20"/>
        </w:rPr>
        <w:t xml:space="preserve"> </w:t>
      </w:r>
    </w:p>
    <w:p>
      <w:pPr>
        <w:pStyle w:val="Normal"/>
        <w:framePr w:w="9891" w:hAnchor="page" w:vAnchor="page" w:x="274" w:y="131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new or revised financial accounting standards provided pursuant to Section 13(a) of the Exchange Act. </w:t>
      </w:r>
      <w:r>
        <w:rPr>
          <w:rFonts w:ascii="DejaVuSans" w:hAnsi="DejaVuSans" w:fareast="DejaVuSans" w:cs="DejaVuSans"/>
          <w:color w:val="000000"/>
          <w:w w:val="100"/>
          <w:sz w:val="19"/>
          <w:szCs w:val="19"/>
        </w:rPr>
        <w:t>☐</w:t>
      </w:r>
    </w:p>
    <w:p>
      <w:pPr>
        <w:pStyle w:val="Normal"/>
        <w:framePr w:w="13850" w:hAnchor="page" w:vAnchor="page" w:x="274" w:y="1297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If an emerging growth company, indicate by check mark if the registrant has elected not to use the extended transition period for complying with any</w:t>
      </w:r>
    </w:p>
    <w:p>
      <w:pPr>
        <w:pStyle w:val="Normal"/>
        <w:framePr w:w="2987" w:hAnchor="page" w:vAnchor="page" w:x="274" w:y="125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Emerging growth company </w:t>
      </w:r>
      <w:r>
        <w:rPr>
          <w:rFonts w:ascii="DejaVuSans" w:hAnsi="DejaVuSans" w:fareast="DejaVuSans" w:cs="DejaVuSans"/>
          <w:color w:val="000000"/>
          <w:w w:val="100"/>
          <w:sz w:val="19"/>
          <w:szCs w:val="19"/>
        </w:rPr>
        <w:t>☐</w:t>
      </w:r>
    </w:p>
    <w:p>
      <w:pPr>
        <w:pStyle w:val="Normal"/>
        <w:framePr w:w="8633" w:hAnchor="page" w:vAnchor="page" w:x="274" w:y="1207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chapter) or Rule 12b-2 of the Securities Exchange Act of 1934 (§240.12b-2 of this chapter).</w:t>
      </w:r>
    </w:p>
    <w:p>
      <w:pPr>
        <w:pStyle w:val="Normal"/>
        <w:framePr w:w="13847" w:hAnchor="page" w:vAnchor="page" w:x="274" w:y="1186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Indicate by check mark whether the registrant is an emerging growth company as defined in Rule 405 of the Securities Act of 1933 (§230.405 of this</w:t>
      </w:r>
    </w:p>
    <w:p>
      <w:pPr>
        <w:pStyle w:val="Normal"/>
        <w:framePr w:w="4037" w:hAnchor="page" w:vAnchor="page" w:x="1125" w:y="1127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Common stock, $0.01 par value per share</w:t>
      </w:r>
    </w:p>
    <w:p>
      <w:pPr>
        <w:pStyle w:val="Normal"/>
        <w:framePr w:w="901" w:hAnchor="page" w:vAnchor="page" w:x="5897" w:y="1127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SMMT</w:t>
      </w:r>
    </w:p>
    <w:p>
      <w:pPr>
        <w:pStyle w:val="Normal"/>
        <w:framePr w:w="3110" w:hAnchor="page" w:vAnchor="page" w:x="8450" w:y="1127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The Nasdaq Stock Market LLC</w:t>
      </w:r>
    </w:p>
    <w:p>
      <w:pPr>
        <w:pStyle w:val="Normal"/>
        <w:framePr w:w="1966" w:hAnchor="page" w:vAnchor="page" w:x="1988" w:y="1099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Title of Each Class</w:t>
      </w:r>
    </w:p>
    <w:p>
      <w:pPr>
        <w:pStyle w:val="Normal"/>
        <w:framePr w:w="1953" w:hAnchor="page" w:vAnchor="page" w:x="5459" w:y="1099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Trading Symbol(s)</w:t>
      </w:r>
    </w:p>
    <w:p>
      <w:pPr>
        <w:pStyle w:val="Normal"/>
        <w:framePr w:w="4481" w:hAnchor="page" w:vAnchor="page" w:x="7879" w:y="1099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Name of Each Exchange on Which Registered</w:t>
      </w:r>
    </w:p>
    <w:p>
      <w:pPr>
        <w:pStyle w:val="Normal"/>
        <w:framePr w:w="5497" w:hAnchor="page" w:vAnchor="page" w:x="274" w:y="1047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Securities registered pursuant to Section 12(b) of the Act:</w:t>
      </w:r>
    </w:p>
    <w:p>
      <w:pPr>
        <w:pStyle w:val="Normal"/>
        <w:framePr w:w="10762" w:hAnchor="page" w:vAnchor="page" w:x="274" w:y="100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DejaVuSans" w:hAnsi="DejaVuSans" w:fareast="DejaVuSans" w:cs="DejaVuSans"/>
          <w:color w:val="000000"/>
          <w:w w:val="100"/>
          <w:sz w:val="19"/>
          <w:szCs w:val="19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 Pre-commencement communications pursuant to Rule 13e-4(c) under the Exchange Act (17 CFR 240.13e-4(c)) </w:t>
      </w:r>
    </w:p>
    <w:p>
      <w:pPr>
        <w:pStyle w:val="Normal"/>
        <w:framePr w:w="10756" w:hAnchor="page" w:vAnchor="page" w:x="274" w:y="95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DejaVuSans" w:hAnsi="DejaVuSans" w:fareast="DejaVuSans" w:cs="DejaVuSans"/>
          <w:color w:val="000000"/>
          <w:w w:val="100"/>
          <w:sz w:val="19"/>
          <w:szCs w:val="19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 Pre-commencement communications pursuant to Rule 14d-2(b) under the Exchange Act (17 CFR 240.14d-2(b))</w:t>
      </w:r>
    </w:p>
    <w:p>
      <w:pPr>
        <w:pStyle w:val="Normal"/>
        <w:framePr w:w="8725" w:hAnchor="page" w:vAnchor="page" w:x="274" w:y="91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DejaVuSans" w:hAnsi="DejaVuSans" w:fareast="DejaVuSans" w:cs="DejaVuSans"/>
          <w:color w:val="000000"/>
          <w:w w:val="100"/>
          <w:sz w:val="19"/>
          <w:szCs w:val="19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 Soliciting material pursuant to Rule 14a-12 under the Exchange Act (17 CFR 240.14a-12)</w:t>
      </w:r>
    </w:p>
    <w:p>
      <w:pPr>
        <w:pStyle w:val="Normal"/>
        <w:framePr w:w="8703" w:hAnchor="page" w:vAnchor="page" w:x="274" w:y="87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DejaVuSans" w:hAnsi="DejaVuSans" w:fareast="DejaVuSans" w:cs="DejaVuSans"/>
          <w:color w:val="000000"/>
          <w:w w:val="100"/>
          <w:sz w:val="19"/>
          <w:szCs w:val="19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 Written communications pursuant to Rule 425 under the Securities Act (17 CFR 230.425)</w:t>
      </w:r>
    </w:p>
    <w:p>
      <w:pPr>
        <w:pStyle w:val="Normal"/>
        <w:framePr w:w="5586" w:hAnchor="page" w:vAnchor="page" w:x="274" w:y="827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following provisions (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19"/>
          <w:szCs w:val="19"/>
        </w:rPr>
        <w:t>see</w:t>
      </w: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 xml:space="preserve"> General Instruction A.2. below):</w:t>
      </w:r>
    </w:p>
    <w:p>
      <w:pPr>
        <w:pStyle w:val="Normal"/>
        <w:framePr w:w="13623" w:hAnchor="page" w:vAnchor="page" w:x="274" w:y="806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Check the appropriate box below if the Form 8-K filing is intended to simultaneously satisfy the filing obligation of the registrant under any of the</w:t>
      </w:r>
    </w:p>
    <w:p>
      <w:pPr>
        <w:pStyle w:val="Normal"/>
        <w:framePr w:w="6271" w:hAnchor="page" w:vAnchor="page" w:x="3652" w:y="75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(Former Name or Former Address, If Changed Since Last Report)</w:t>
      </w:r>
    </w:p>
    <w:p>
      <w:pPr>
        <w:pStyle w:val="Normal"/>
        <w:framePr w:w="1567" w:hAnchor="page" w:vAnchor="page" w:x="5612" w:y="721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Not applicable</w:t>
      </w:r>
    </w:p>
    <w:p>
      <w:pPr>
        <w:pStyle w:val="Normal"/>
        <w:framePr w:w="6703" w:hAnchor="page" w:vAnchor="page" w:x="3422" w:y="671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Registrant’s Telephone Number, Including Area Code: (650) 460-8308</w:t>
      </w:r>
    </w:p>
    <w:p>
      <w:pPr>
        <w:pStyle w:val="Normal"/>
        <w:framePr w:w="3956" w:hAnchor="page" w:vAnchor="page" w:x="2702" w:y="617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(Address of Principal Executive Offices)</w:t>
      </w:r>
    </w:p>
    <w:p>
      <w:pPr>
        <w:pStyle w:val="Normal"/>
        <w:framePr w:w="1237" w:hAnchor="page" w:vAnchor="page" w:x="9623" w:y="617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(Zip Code)</w:t>
      </w:r>
    </w:p>
    <w:p>
      <w:pPr>
        <w:pStyle w:val="Normal"/>
        <w:framePr w:w="4755" w:hAnchor="page" w:vAnchor="page" w:x="2369" w:y="588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2882 Sand Hill Road, Suite 106, Menlo Park, CA</w:t>
      </w:r>
    </w:p>
    <w:p>
      <w:pPr>
        <w:pStyle w:val="Normal"/>
        <w:framePr w:w="799" w:hAnchor="page" w:vAnchor="page" w:x="9806" w:y="588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94025</w:t>
      </w:r>
    </w:p>
    <w:p>
      <w:pPr>
        <w:pStyle w:val="Normal"/>
        <w:framePr w:w="1796" w:hAnchor="page" w:vAnchor="page" w:x="1694" w:y="53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of Incorporation)</w:t>
      </w:r>
    </w:p>
    <w:p>
      <w:pPr>
        <w:pStyle w:val="Normal"/>
        <w:framePr w:w="1466" w:hAnchor="page" w:vAnchor="page" w:x="5705" w:y="53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File Number)</w:t>
      </w:r>
    </w:p>
    <w:p>
      <w:pPr>
        <w:pStyle w:val="Normal"/>
        <w:framePr w:w="1929" w:hAnchor="page" w:vAnchor="page" w:x="9335" w:y="53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Identification No.)</w:t>
      </w:r>
    </w:p>
    <w:p>
      <w:pPr>
        <w:pStyle w:val="Normal"/>
        <w:framePr w:w="2710" w:hAnchor="page" w:vAnchor="page" w:x="1313" w:y="511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(State or Other Jurisdiction</w:t>
      </w:r>
    </w:p>
    <w:p>
      <w:pPr>
        <w:pStyle w:val="Normal"/>
        <w:framePr w:w="1460" w:hAnchor="page" w:vAnchor="page" w:x="5707" w:y="511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(Commission</w:t>
      </w:r>
    </w:p>
    <w:p>
      <w:pPr>
        <w:pStyle w:val="Normal"/>
        <w:framePr w:w="1618" w:hAnchor="page" w:vAnchor="page" w:x="9464" w:y="511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(IRS Employer</w:t>
      </w:r>
    </w:p>
    <w:p>
      <w:pPr>
        <w:pStyle w:val="Normal"/>
        <w:framePr w:w="1104" w:hAnchor="page" w:vAnchor="page" w:x="1982" w:y="48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Delaware</w:t>
      </w:r>
    </w:p>
    <w:p>
      <w:pPr>
        <w:pStyle w:val="Normal"/>
        <w:framePr w:w="1219" w:hAnchor="page" w:vAnchor="page" w:x="5808" w:y="48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001-36866</w:t>
      </w:r>
    </w:p>
    <w:p>
      <w:pPr>
        <w:pStyle w:val="Normal"/>
        <w:framePr w:w="1333" w:hAnchor="page" w:vAnchor="page" w:x="9583" w:y="48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37-1979717</w:t>
      </w:r>
    </w:p>
    <w:p>
      <w:pPr>
        <w:pStyle w:val="Normal"/>
        <w:framePr w:w="5179" w:hAnchor="page" w:vAnchor="page" w:x="4107" w:y="428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(Exact Name of Registrant as Specified in Its Charter)</w:t>
      </w:r>
    </w:p>
    <w:p>
      <w:pPr>
        <w:pStyle w:val="Normal"/>
        <w:framePr w:w="2596" w:hAnchor="page" w:vAnchor="page" w:x="5184" w:y="400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Summit Therapeutics Inc.</w:t>
      </w:r>
    </w:p>
    <w:p>
      <w:pPr>
        <w:pStyle w:val="Normal"/>
        <w:framePr w:w="6290" w:hAnchor="page" w:vAnchor="page" w:x="3594" w:y="350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Date of Report (Date of Earliest Event Reported): March 17, 2023</w:t>
      </w:r>
    </w:p>
    <w:p>
      <w:pPr>
        <w:pStyle w:val="Normal"/>
        <w:framePr w:w="7136" w:hAnchor="page" w:vAnchor="page" w:x="3242" w:y="305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Pursuant to Section 13 or 15(d) of The Securities Exchange Act of 1934</w:t>
      </w:r>
    </w:p>
    <w:p>
      <w:pPr>
        <w:pStyle w:val="Normal"/>
        <w:framePr w:w="2360" w:hAnchor="page" w:vAnchor="page" w:x="5232" w:y="284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CURRENT REPORT</w:t>
      </w:r>
    </w:p>
    <w:p>
      <w:pPr>
        <w:pStyle w:val="Normal"/>
        <w:framePr w:w="1351" w:hAnchor="page" w:vAnchor="page" w:x="5652" w:y="240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FORM 8-K</w:t>
      </w:r>
    </w:p>
    <w:p>
      <w:pPr>
        <w:pStyle w:val="Normal"/>
        <w:framePr w:w="2584" w:hAnchor="page" w:vAnchor="page" w:x="5138" w:y="1971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Washington, D.C. 20549</w:t>
      </w:r>
    </w:p>
    <w:p>
      <w:pPr>
        <w:pStyle w:val="Normal"/>
        <w:framePr w:w="5150" w:hAnchor="page" w:vAnchor="page" w:x="4069" w:y="1743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SECURITIES AND EXCHANGE COMMISSION</w:t>
      </w:r>
    </w:p>
    <w:p>
      <w:pPr>
        <w:pStyle w:val="Normal"/>
        <w:framePr w:w="2017" w:hAnchor="page" w:vAnchor="page" w:x="5375" w:y="152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UNITED STATES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0" style="position:absolute;margin-left:7pt;margin-top:1pt;z-index:-16777212;width:598pt;height:1005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" style="position:absolute;margin-left:12.7pt;margin-top:755.65pt;z-index:-16777208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" style="position:absolute;margin-left:12.7pt;margin-top:756.35pt;z-index:-16777204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" style="position:absolute;margin-left:596.55pt;margin-top:755.65pt;z-index:-16777200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" style="position:absolute;margin-left:12.7pt;margin-top:755.65pt;z-index:-16777196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" style="position:absolute;margin-left:370.7pt;margin-top:183.25pt;z-index:-16777192;width:62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" style="position:absolute;margin-left:405.75pt;margin-top:305.45pt;z-index:-16777188;width:193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" style="position:absolute;margin-left:18.45pt;margin-top:305.45pt;z-index:-16777184;width:389.3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" style="position:absolute;margin-left:405.75pt;margin-top:252.55pt;z-index:-16777180;width:193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" style="position:absolute;margin-left:214.95pt;margin-top:252.55pt;z-index:-16777176;width:192.8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" style="position:absolute;margin-left:18.45pt;margin-top:252.55pt;z-index:-16777172;width:198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" style="position:absolute;margin-left:18.45pt;margin-top:211.1pt;z-index:-16777168;width:580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" style="position:absolute;margin-left:380.4pt;margin-top:344pt;z-index:-16777164;width:22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" style="position:absolute;margin-left:401pt;margin-top:344pt;z-index:-16777160;width:4.4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" style="position:absolute;margin-left:403.4pt;margin-top:344pt;z-index:-16777156;width:38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" style="position:absolute;margin-left:18.45pt;margin-top:371.9pt;z-index:-16777152;width:580.8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" style="position:absolute;margin-left:365.75pt;margin-top:574.85pt;z-index:-16777148;width:234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" style="position:absolute;margin-left:597.3pt;margin-top:560.55pt;z-index:-16777144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" style="position:absolute;margin-left:249.95pt;margin-top:574.85pt;z-index:-16777140;width:118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" style="position:absolute;margin-left:365.75pt;margin-top:560.55pt;z-index:-16777136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" style="position:absolute;margin-left:19.15pt;margin-top:574.85pt;z-index:-16777132;width:233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" style="position:absolute;margin-left:19.15pt;margin-top:560.55pt;z-index:-16777128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" style="position:absolute;margin-left:249.95pt;margin-top:560.55pt;z-index:-16777124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" style="position:absolute;margin-left:365.75pt;margin-top:546.25pt;z-index:-16777120;width:234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" style="position:absolute;margin-left:365.75pt;margin-top:560.55pt;z-index:-16777116;width:234.2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" style="position:absolute;margin-left:597.3pt;margin-top:546.25pt;z-index:-16777112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" style="position:absolute;margin-left:249.95pt;margin-top:546.25pt;z-index:-16777108;width:118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" style="position:absolute;margin-left:249.95pt;margin-top:560.55pt;z-index:-16777104;width:118.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" style="position:absolute;margin-left:365.75pt;margin-top:546.25pt;z-index:-16777100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" style="position:absolute;margin-left:19.15pt;margin-top:546.25pt;z-index:-16777096;width:233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" style="position:absolute;margin-left:19.15pt;margin-top:560.55pt;z-index:-16777092;width:233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" style="position:absolute;margin-left:19.15pt;margin-top:546.25pt;z-index:-16777088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" style="position:absolute;margin-left:249.95pt;margin-top:546.25pt;z-index:-16777084;width:2.7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" style="position:absolute;margin-left:595.85pt;margin-top:546.25pt;z-index:-16777080;width:4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" style="position:absolute;margin-left:371.45pt;margin-top:546.25pt;z-index:-16777076;width:226.4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" style="position:absolute;margin-left:365.75pt;margin-top:546.25pt;z-index:-16777072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" style="position:absolute;margin-left:364.3pt;margin-top:546.25pt;z-index:-16777068;width:4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" style="position:absolute;margin-left:255.7pt;margin-top:546.25pt;z-index:-16777064;width:110.6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" style="position:absolute;margin-left:249.95pt;margin-top:546.25pt;z-index:-16777060;width:7.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" style="position:absolute;margin-left:248.55pt;margin-top:546.25pt;z-index:-16777056;width:4.1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" style="position:absolute;margin-left:24.15pt;margin-top:546.25pt;z-index:-16777052;width:226.4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" style="position:absolute;margin-left:19.15pt;margin-top:546.25pt;z-index:-16777048;width:7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" o:title=""/>
          </v:shape>
        </w:pict>
      </w:r>
    </w:p>
    <w:p>
      <w:pPr>
        <w:pStyle w:val="Normal"/>
        <w:framePr w:w="571" w:hAnchor="page" w:vAnchor="page" w:x="1037" w:y="64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104</w:t>
      </w:r>
    </w:p>
    <w:p>
      <w:pPr>
        <w:pStyle w:val="Normal"/>
        <w:framePr w:w="7566" w:hAnchor="page" w:vAnchor="page" w:x="3595" w:y="640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Cover Page Interactive Data File (embedded within the Inline XBRL document)</w:t>
      </w:r>
    </w:p>
    <w:p>
      <w:pPr>
        <w:pStyle w:val="Normal"/>
        <w:framePr w:w="1822" w:hAnchor="page" w:vAnchor="page" w:x="1037" w:y="61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Exhibit Number</w:t>
      </w:r>
    </w:p>
    <w:p>
      <w:pPr>
        <w:pStyle w:val="Normal"/>
        <w:framePr w:w="1358" w:hAnchor="page" w:vAnchor="page" w:x="3595" w:y="613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Description</w:t>
      </w:r>
    </w:p>
    <w:p>
      <w:pPr>
        <w:pStyle w:val="Normal"/>
        <w:framePr w:w="1314" w:hAnchor="page" w:vAnchor="page" w:x="274" w:y="558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(d) Exhibits</w:t>
      </w:r>
    </w:p>
    <w:p>
      <w:pPr>
        <w:pStyle w:val="Normal"/>
        <w:framePr w:w="1142" w:hAnchor="page" w:vAnchor="page" w:x="293" w:y="501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Item 9.01</w:t>
      </w:r>
    </w:p>
    <w:p>
      <w:pPr>
        <w:pStyle w:val="Normal"/>
        <w:framePr w:w="3632" w:hAnchor="page" w:vAnchor="page" w:x="2080" w:y="501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Financial Statements and Exhibits.</w:t>
      </w:r>
    </w:p>
    <w:p>
      <w:pPr>
        <w:pStyle w:val="Normal"/>
        <w:framePr w:w="1136" w:hAnchor="page" w:vAnchor="page" w:x="274" w:y="421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disclosed.</w:t>
      </w:r>
    </w:p>
    <w:p>
      <w:pPr>
        <w:pStyle w:val="Normal"/>
        <w:framePr w:w="14026" w:hAnchor="page" w:vAnchor="page" w:x="274" w:y="401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Stock being registered pursuant to the Registration Statement were issued in January 2023 and December 2022, respectively, and have been previously</w:t>
      </w:r>
    </w:p>
    <w:p>
      <w:pPr>
        <w:pStyle w:val="Normal"/>
        <w:framePr w:w="13682" w:hAnchor="page" w:vAnchor="page" w:x="274" w:y="381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certain Note Purchase Agreement dated December 6, 2022 between Robert Duggan, Mahkam Zanganeh and the Company. The shares of Common</w:t>
      </w:r>
    </w:p>
    <w:p>
      <w:pPr>
        <w:pStyle w:val="Normal"/>
        <w:framePr w:w="13713" w:hAnchor="page" w:vAnchor="page" w:x="274" w:y="3572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December 2022 to Robert Duggan and the Mahkam Zanganeh Revocable Trust, respectively, as payment of prepaid interest in connection with that</w:t>
      </w:r>
    </w:p>
    <w:p>
      <w:pPr>
        <w:pStyle w:val="Normal"/>
        <w:framePr w:w="13880" w:hAnchor="page" w:vAnchor="page" w:x="274" w:y="335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affiliates (“Akeso”) pursuant to which the Company issued Akeso such shares; and (ii) the 9,346,434 and 373,857 shares of Common Stock issued in</w:t>
      </w:r>
    </w:p>
    <w:p>
      <w:pPr>
        <w:pStyle w:val="Normal"/>
        <w:framePr w:w="14024" w:hAnchor="page" w:vAnchor="page" w:x="274" w:y="3158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10,000,000 shares of Common Stock issued on January 17, 2023 in connection with the Collaboration and License Agreement with Akeso, Inc. and its</w:t>
      </w:r>
    </w:p>
    <w:p>
      <w:pPr>
        <w:pStyle w:val="Normal"/>
        <w:framePr w:w="14091" w:hAnchor="page" w:vAnchor="page" w:x="274" w:y="2957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registered under the Securities Act of 1933, as amended. The shares being registered pursuant to the Registration Statement consist of the following: (i)</w:t>
      </w:r>
    </w:p>
    <w:p>
      <w:pPr>
        <w:pStyle w:val="Normal"/>
        <w:framePr w:w="13337" w:hAnchor="page" w:vAnchor="page" w:x="274" w:y="271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certain shares of the Company’s common stock, $0.01 par value per share (the “Common Stock”) that had been previously issued, but were not</w:t>
      </w:r>
    </w:p>
    <w:p>
      <w:pPr>
        <w:pStyle w:val="Normal"/>
        <w:framePr w:w="13417" w:hAnchor="page" w:vAnchor="page" w:x="960" w:y="2500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Summit Therapeutics Inc. (the “Company”) today filed a registration statement on Form S-3 (the “Registration Statement”) to register for resale</w:t>
      </w:r>
    </w:p>
    <w:p>
      <w:pPr>
        <w:pStyle w:val="Normal"/>
        <w:framePr w:w="1142" w:hAnchor="page" w:vAnchor="page" w:x="293" w:y="188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Item 8.01</w:t>
      </w:r>
    </w:p>
    <w:p>
      <w:pPr>
        <w:pStyle w:val="Normal"/>
        <w:framePr w:w="1587" w:hAnchor="page" w:vAnchor="page" w:x="2080" w:y="188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Other Events.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" style="position:absolute;margin-left:7pt;margin-top:1pt;z-index:-16777044;width:598pt;height:1005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" style="position:absolute;margin-left:12.7pt;margin-top:436.2pt;z-index:-16777040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" style="position:absolute;margin-left:12.7pt;margin-top:436.9pt;z-index:-16777036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" style="position:absolute;margin-left:596.55pt;margin-top:436.2pt;z-index:-16777032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" style="position:absolute;margin-left:12.7pt;margin-top:436.2pt;z-index:-16777028;width:2.7pt;height:3.4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" style="position:absolute;margin-left:12.7pt;margin-top:84.6pt;z-index:-16777024;width:586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" style="position:absolute;margin-left:50.85pt;margin-top:314.7pt;z-index:-16777020;width:68.4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" style="position:absolute;margin-left:178.75pt;margin-top:314.7pt;z-index:-16777016;width:49.1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" o:title=""/>
          </v:shape>
        </w:pict>
      </w:r>
    </w:p>
    <w:p>
      <w:pPr>
        <w:pStyle w:val="Normal"/>
        <w:framePr w:w="2826" w:hAnchor="page" w:vAnchor="page" w:x="6718" w:y="3986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(Principal Financial Officer)</w:t>
      </w:r>
    </w:p>
    <w:p>
      <w:pPr>
        <w:pStyle w:val="Normal"/>
        <w:framePr w:w="2357" w:hAnchor="page" w:vAnchor="page" w:x="6718" w:y="371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Chief Financial Officer</w:t>
      </w:r>
    </w:p>
    <w:p>
      <w:pPr>
        <w:pStyle w:val="Normal"/>
        <w:framePr w:w="2234" w:hAnchor="page" w:vAnchor="page" w:x="472" w:y="34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Date: March 17, 2023</w:t>
      </w:r>
    </w:p>
    <w:p>
      <w:pPr>
        <w:pStyle w:val="Normal"/>
        <w:framePr w:w="558" w:hAnchor="page" w:vAnchor="page" w:x="5660" w:y="34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By:</w:t>
      </w:r>
    </w:p>
    <w:p>
      <w:pPr>
        <w:pStyle w:val="Normal"/>
        <w:framePr w:w="1891" w:hAnchor="page" w:vAnchor="page" w:x="6718" w:y="3429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/s/ Ankur Dhingra</w:t>
      </w:r>
    </w:p>
    <w:p>
      <w:pPr>
        <w:pStyle w:val="Normal"/>
        <w:framePr w:w="3587" w:hAnchor="page" w:vAnchor="page" w:x="5660" w:y="261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SUMMIT THERAPEUTICS INC.</w:t>
      </w:r>
    </w:p>
    <w:p>
      <w:pPr>
        <w:pStyle w:val="Normal"/>
        <w:framePr w:w="3802" w:hAnchor="page" w:vAnchor="page" w:x="274" w:y="211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undersigned, hereunto duly authorized.</w:t>
      </w:r>
    </w:p>
    <w:p>
      <w:pPr>
        <w:pStyle w:val="Normal"/>
        <w:framePr w:w="13280" w:hAnchor="page" w:vAnchor="page" w:x="960" w:y="1885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9"/>
          <w:szCs w:val="19"/>
        </w:rPr>
        <w:t>Pursuant to the requirements of the Securities Exchange Act of 1934, the registrant has duly caused this report to be signed on its behalf by the</w:t>
      </w:r>
    </w:p>
    <w:p>
      <w:pPr>
        <w:pStyle w:val="Normal"/>
        <w:framePr w:w="1570" w:hAnchor="page" w:vAnchor="page" w:x="5561" w:y="1414"/>
        <w:widowControl w:val="off"/>
        <w:autoSpaceDE w:val="off"/>
        <w:autoSpaceDN w:val="off"/>
        <w:spacing w:before="0" w:after="0" w:line="211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9"/>
          <w:szCs w:val="19"/>
        </w:rPr>
        <w:t>SIGNATURE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" style="position:absolute;margin-left:7pt;margin-top:1pt;z-index:-16777012;width:598pt;height:290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" style="position:absolute;margin-left:330.75pt;margin-top:182.5pt;z-index:-16777008;width:268.55pt;height:2.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" o:title=""/>
          </v:shape>
        </w:pict>
      </w:r>
    </w:p>
    <w:sectPr>
      <w:pgSz w:w="12240" w:h="20160"/>
      <w:pgMar w:top="400" w:right="400" w:bottom="400" w:left="400" w:header="720" w:footer="720"/>
      <w:pgNumType w:start="3"/>
      <w:cols w:space="720" w:sep="off"/>
      <w:docGrid w:line-pitch="31680"/>
    </w:sectPr>
  </w:body>
</w:document>
</file>

<file path=word/fontTable.xml><?xml version="1.0" encoding="utf-8"?>
<w:fonts xmlns:w="http://schemas.openxmlformats.org/wordprocessingml/2006/main">
  <w:defaultFonts w:hintType="default" w:ascii="Calibri" w:h-ansi="Calibri" w:fareast="宋体"/>
  <w:font w:name="Times New Roman">
    <w:panose-1>"02020603050405020304"</w:panose-1>
    <w:charset>
      <w:val>"00"</w:val>
    </w:charset>
    <w:family>"Roman"</w:family>
    <w:notTrueType w:val="off"/>
    <w:pitch>"variable"</w:pitch>
    <w:sig w:usb0="01010101" w:usb1="01010101" w:usb2="01010101" w:usb3="01010101" w:csb0="01010101" w:csb1="01010101"/>
  </w:font>
  <w:font w:name="Symbol">
    <w:panose-1>"05050102010706020507"</w:panose-1>
    <w:charset>
      <w:val>"02"</w:val>
    </w:charset>
    <w:family>"Roman"</w:family>
    <w:notTrueType w:val="off"/>
    <w:pitch>"variable"</w:pitch>
    <w:sig w:usb0="01010101" w:usb1="01010101" w:usb2="01010101" w:usb3="01010101" w:csb0="01010101" w:csb1="01010101"/>
  </w:font>
  <w:font w:name="Arial">
    <w:panose-1>"020b0604020202020204"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libri">
    <w:panose-1>"020f0502020204030204"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宋体">
    <w:altName>"SimSun"</w:altName>
    <w:panose-1>"02010600030101010101"</w:panose-1>
    <w:charset>
      <w:val>"86"</w:val>
    </w:charset>
    <w:family>"Auto"</w:family>
    <w:notTrueType w:val="off"/>
    <w:pitch>"variable"</w:pitch>
    <w:sig w:usb0="01010101" w:usb1="01010101" w:usb2="01010101" w:usb3="01010101" w:csb0="01010101" w:csb1="01010101"/>
  </w:font>
  <w:font w:name="Cambria Math">
    <w:panose-1>"02040503050406030204"</w:panose-1>
    <w:charset>
      <w:val>"01"</w:val>
    </w:charset>
    <w:family>"Roman"</w:family>
    <w:notTrueType w:val="on"/>
    <w:pitch>"variable"</w:pitch>
    <w:sig w:usb0="01010101" w:usb1="01010101" w:usb2="01010101" w:usb3="01010101" w:csb0="01010101" w:csb1="01010101"/>
  </w:font>
  <w:font w:name="TimesNewRomanPSMT">
    <w:panose-1>"02020603050405020304"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1" w:fontKey="{0b244c23-0000-0000-0000-000000000000}"/>
  </w:font>
  <w:font w:name="DejaVuSans">
    <w:panose-1>"020b0603030804020204"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2" w:fontKey="{be00ae22-0000-0000-0000-000000000000}"/>
  </w:font>
  <w:font w:name="TimesNewRomanPS-ItalicMT">
    <w:panose-1>"02020503050405090304"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3" w:fontKey="{b520054c-0000-0000-0000-000000000000}"/>
  </w:font>
  <w:font w:name="TimesNewRomanPS-BoldMT">
    <w:panose-1>"02020803070505020304"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4" w:fontKey="{caef09bc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style w:type="paragraph" w:styleId="Normal" w:default="on">
    <w:name w:val="Normal"/>
    <w:next w:val="Normal"/>
    <w:link w:val="Normal"/>
    <w:pPr>
      <w:pStyle w:val="Normal"/>
      <w:spacing w:after="200" w:line="276"/>
    </w:pPr>
    <w:rPr>
      <w:sz w:val="22"/>
      <w:szCs w:val="22"/>
      <w:lang w:val="en-US" w:fareast="zh-CN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pPr>
      <w:pStyle w:val="TableNormal"/>
    </w:pPr>
    <w:tblPr>
      <w:tblInd w:w="0" w:type="dxa"/>
      <w:tblLayout>"Fixed"</w:tblLayout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  <w:pPr>
      <w:pStyle w:val="NoLi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10" Target="media/image10.png" Type="http://schemas.openxmlformats.org/officeDocument/2006/relationships/image"/><Relationship Id="rId11" Target="media/image11.png" Type="http://schemas.openxmlformats.org/officeDocument/2006/relationships/image"/><Relationship Id="rId12" Target="media/image12.png" Type="http://schemas.openxmlformats.org/officeDocument/2006/relationships/image"/><Relationship Id="rId13" Target="media/image13.png" Type="http://schemas.openxmlformats.org/officeDocument/2006/relationships/image"/><Relationship Id="rId14" Target="media/image14.png" Type="http://schemas.openxmlformats.org/officeDocument/2006/relationships/image"/><Relationship Id="rId15" Target="media/image15.png" Type="http://schemas.openxmlformats.org/officeDocument/2006/relationships/image"/><Relationship Id="rId16" Target="media/image16.png" Type="http://schemas.openxmlformats.org/officeDocument/2006/relationships/image"/><Relationship Id="rId17" Target="media/image17.png" Type="http://schemas.openxmlformats.org/officeDocument/2006/relationships/image"/><Relationship Id="rId18" Target="media/image18.png" Type="http://schemas.openxmlformats.org/officeDocument/2006/relationships/image"/><Relationship Id="rId19" Target="media/image19.png" Type="http://schemas.openxmlformats.org/officeDocument/2006/relationships/image"/><Relationship Id="rId2" Target="media/image2.png" Type="http://schemas.openxmlformats.org/officeDocument/2006/relationships/image"/><Relationship Id="rId20" Target="media/image20.png" Type="http://schemas.openxmlformats.org/officeDocument/2006/relationships/image"/><Relationship Id="rId21" Target="media/image21.png" Type="http://schemas.openxmlformats.org/officeDocument/2006/relationships/image"/><Relationship Id="rId22" Target="media/image22.png" Type="http://schemas.openxmlformats.org/officeDocument/2006/relationships/image"/><Relationship Id="rId23" Target="media/image23.png" Type="http://schemas.openxmlformats.org/officeDocument/2006/relationships/image"/><Relationship Id="rId24" Target="media/image24.png" Type="http://schemas.openxmlformats.org/officeDocument/2006/relationships/image"/><Relationship Id="rId25" Target="media/image25.png" Type="http://schemas.openxmlformats.org/officeDocument/2006/relationships/image"/><Relationship Id="rId26" Target="media/image26.png" Type="http://schemas.openxmlformats.org/officeDocument/2006/relationships/image"/><Relationship Id="rId27" Target="media/image27.png" Type="http://schemas.openxmlformats.org/officeDocument/2006/relationships/image"/><Relationship Id="rId28" Target="media/image28.png" Type="http://schemas.openxmlformats.org/officeDocument/2006/relationships/image"/><Relationship Id="rId29" Target="media/image29.png" Type="http://schemas.openxmlformats.org/officeDocument/2006/relationships/image"/><Relationship Id="rId3" Target="media/image3.png" Type="http://schemas.openxmlformats.org/officeDocument/2006/relationships/image"/><Relationship Id="rId30" Target="media/image30.png" Type="http://schemas.openxmlformats.org/officeDocument/2006/relationships/image"/><Relationship Id="rId31" Target="media/image31.png" Type="http://schemas.openxmlformats.org/officeDocument/2006/relationships/image"/><Relationship Id="rId32" Target="media/image32.png" Type="http://schemas.openxmlformats.org/officeDocument/2006/relationships/image"/><Relationship Id="rId33" Target="media/image33.png" Type="http://schemas.openxmlformats.org/officeDocument/2006/relationships/image"/><Relationship Id="rId34" Target="media/image34.png" Type="http://schemas.openxmlformats.org/officeDocument/2006/relationships/image"/><Relationship Id="rId35" Target="media/image35.png" Type="http://schemas.openxmlformats.org/officeDocument/2006/relationships/image"/><Relationship Id="rId36" Target="media/image36.png" Type="http://schemas.openxmlformats.org/officeDocument/2006/relationships/image"/><Relationship Id="rId37" Target="media/image37.png" Type="http://schemas.openxmlformats.org/officeDocument/2006/relationships/image"/><Relationship Id="rId38" Target="media/image38.png" Type="http://schemas.openxmlformats.org/officeDocument/2006/relationships/image"/><Relationship Id="rId39" Target="media/image39.png" Type="http://schemas.openxmlformats.org/officeDocument/2006/relationships/image"/><Relationship Id="rId4" Target="media/image4.png" Type="http://schemas.openxmlformats.org/officeDocument/2006/relationships/image"/><Relationship Id="rId40" Target="media/image40.png" Type="http://schemas.openxmlformats.org/officeDocument/2006/relationships/image"/><Relationship Id="rId41" Target="media/image41.png" Type="http://schemas.openxmlformats.org/officeDocument/2006/relationships/image"/><Relationship Id="rId42" Target="media/image42.png" Type="http://schemas.openxmlformats.org/officeDocument/2006/relationships/image"/><Relationship Id="rId43" Target="media/image43.png" Type="http://schemas.openxmlformats.org/officeDocument/2006/relationships/image"/><Relationship Id="rId44" Target="media/image44.png" Type="http://schemas.openxmlformats.org/officeDocument/2006/relationships/image"/><Relationship Id="rId45" Target="media/image45.png" Type="http://schemas.openxmlformats.org/officeDocument/2006/relationships/image"/><Relationship Id="rId46" Target="media/image46.png" Type="http://schemas.openxmlformats.org/officeDocument/2006/relationships/image"/><Relationship Id="rId47" Target="media/image47.png" Type="http://schemas.openxmlformats.org/officeDocument/2006/relationships/image"/><Relationship Id="rId48" Target="media/image48.png" Type="http://schemas.openxmlformats.org/officeDocument/2006/relationships/image"/><Relationship Id="rId49" Target="media/image49.png" Type="http://schemas.openxmlformats.org/officeDocument/2006/relationships/image"/><Relationship Id="rId5" Target="media/image5.png" Type="http://schemas.openxmlformats.org/officeDocument/2006/relationships/image"/><Relationship Id="rId50" Target="media/image50.png" Type="http://schemas.openxmlformats.org/officeDocument/2006/relationships/image"/><Relationship Id="rId51" Target="media/image51.png" Type="http://schemas.openxmlformats.org/officeDocument/2006/relationships/image"/><Relationship Id="rId52" Target="media/image52.png" Type="http://schemas.openxmlformats.org/officeDocument/2006/relationships/image"/><Relationship Id="rId53" Target="styles.xml" Type="http://schemas.openxmlformats.org/officeDocument/2006/relationships/styles"/><Relationship Id="rId54" Target="fontTable.xml" Type="http://schemas.openxmlformats.org/officeDocument/2006/relationships/fontTable"/><Relationship Id="rId55" Target="settings.xml" Type="http://schemas.openxmlformats.org/officeDocument/2006/relationships/settings"/><Relationship Id="rId56" Target="webSettings.xml" Type="http://schemas.openxmlformats.org/officeDocument/2006/relationships/webSettings"/><Relationship Id="rId6" Target="media/image6.png" Type="http://schemas.openxmlformats.org/officeDocument/2006/relationships/image"/><Relationship Id="rId7" Target="media/image7.png" Type="http://schemas.openxmlformats.org/officeDocument/2006/relationships/image"/><Relationship Id="rId8" Target="media/image8.png" Type="http://schemas.openxmlformats.org/officeDocument/2006/relationships/image"/><Relationship Id="rId9" Target="media/image9.pn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Template>Normal.dotm</Template>
  <TotalTime>3</TotalTime>
  <Pages>3</Pages>
  <Words>562</Words>
  <Characters>3128</Characters>
  <Application>e-iceblue</Application>
  <DocSecurity>0</DocSecurity>
  <Lines>70</Lines>
  <Paragraphs>70</Paragraphs>
  <ScaleCrop>false</ScaleCrop>
  <Company>e-iceblue</Company>
  <LinksUpToDate>false</LinksUpToDate>
  <CharactersWithSpaces>3620</CharactersWithSpaces>
  <SharedDoc>false</SharedDoc>
  <HyperlinksChanged>false</HyperlinksChanged>
  <AppVersion>1.0000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2023-03-17T20:42:29Z</dcterms:created>
  <dc:creator>root</dc:creator>
  <cp:lastModifiedBy>root</cp:lastModifiedBy>
  <dcterms:modified xsi:type="dcterms:W3CDTF">2023-03-17T20:42:29Z</dcterms:modified>
  <cp:revision>1</cp:revision>
</cp:coreProperties>
</file>