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9891" w:hAnchor="page" w:vAnchor="page" w:x="274" w:y="1324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new or revised financial accounting standards provided pursuant to Section 13(a) of the Exchange Act. </w:t>
      </w: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13850" w:hAnchor="page" w:vAnchor="page" w:x="274" w:y="13019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If an emerging growth company, indicate by check mark if the registrant has elected not to use the extended transition period for complying with any</w:t>
      </w:r>
    </w:p>
    <w:p>
      <w:pPr>
        <w:pStyle w:val="Normal"/>
        <w:framePr w:w="2987" w:hAnchor="page" w:vAnchor="page" w:x="274" w:y="1256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Emerging growth company </w:t>
      </w: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8633" w:hAnchor="page" w:vAnchor="page" w:x="274" w:y="12133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chapter) or Rule 12b-2 of the Securities Exchange Act of 1934 (§240.12b-2 of this chapter).</w:t>
      </w:r>
    </w:p>
    <w:p>
      <w:pPr>
        <w:pStyle w:val="Normal"/>
        <w:framePr w:w="13847" w:hAnchor="page" w:vAnchor="page" w:x="274" w:y="11919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Indicate by check mark whether the registrant is an emerging growth company as defined in Rule 405 of the Securities Act of 1933 (§230.405 of this</w:t>
      </w:r>
    </w:p>
    <w:p>
      <w:pPr>
        <w:pStyle w:val="Normal"/>
        <w:framePr w:w="4037" w:hAnchor="page" w:vAnchor="page" w:x="1125" w:y="11333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Common stock, $0.01 par value per share</w:t>
      </w:r>
    </w:p>
    <w:p>
      <w:pPr>
        <w:pStyle w:val="Normal"/>
        <w:framePr w:w="901" w:hAnchor="page" w:vAnchor="page" w:x="5897" w:y="11333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SMMT</w:t>
      </w:r>
    </w:p>
    <w:p>
      <w:pPr>
        <w:pStyle w:val="Normal"/>
        <w:framePr w:w="3110" w:hAnchor="page" w:vAnchor="page" w:x="8450" w:y="11333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Nasdaq Stock Market LLC</w:t>
      </w:r>
    </w:p>
    <w:p>
      <w:pPr>
        <w:pStyle w:val="Normal"/>
        <w:framePr w:w="1966" w:hAnchor="page" w:vAnchor="page" w:x="1988" w:y="11047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Title of Each Class</w:t>
      </w:r>
    </w:p>
    <w:p>
      <w:pPr>
        <w:pStyle w:val="Normal"/>
        <w:framePr w:w="1953" w:hAnchor="page" w:vAnchor="page" w:x="5459" w:y="11047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Trading Symbol(s)</w:t>
      </w:r>
    </w:p>
    <w:p>
      <w:pPr>
        <w:pStyle w:val="Normal"/>
        <w:framePr w:w="4481" w:hAnchor="page" w:vAnchor="page" w:x="7879" w:y="11047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Name of Each Exchange on Which Registered</w:t>
      </w:r>
    </w:p>
    <w:p>
      <w:pPr>
        <w:pStyle w:val="Normal"/>
        <w:framePr w:w="5497" w:hAnchor="page" w:vAnchor="page" w:x="274" w:y="10532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Securities registered pursuant to Section 12(b) of the Act:</w:t>
      </w:r>
    </w:p>
    <w:p>
      <w:pPr>
        <w:pStyle w:val="Normal"/>
        <w:framePr w:w="10762" w:hAnchor="page" w:vAnchor="page" w:x="274" w:y="1006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Pre-commencement communications pursuant to Rule 13e-4(c) under the Exchange Act (17 CFR 240.13e-4(c)) </w:t>
      </w:r>
    </w:p>
    <w:p>
      <w:pPr>
        <w:pStyle w:val="Normal"/>
        <w:framePr w:w="10756" w:hAnchor="page" w:vAnchor="page" w:x="274" w:y="963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Pre-commencement communications pursuant to Rule 14d-2(b) under the Exchange Act (17 CFR 240.14d-2(b))</w:t>
      </w:r>
    </w:p>
    <w:p>
      <w:pPr>
        <w:pStyle w:val="Normal"/>
        <w:framePr w:w="8725" w:hAnchor="page" w:vAnchor="page" w:x="274" w:y="919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Soliciting material pursuant to Rule 14a-12 under the Exchange Act (17 CFR 240.14a-12)</w:t>
      </w:r>
    </w:p>
    <w:p>
      <w:pPr>
        <w:pStyle w:val="Normal"/>
        <w:framePr w:w="8703" w:hAnchor="page" w:vAnchor="page" w:x="274" w:y="875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Written communications pursuant to Rule 425 under the Securities Act (17 CFR 230.425)</w:t>
      </w:r>
    </w:p>
    <w:p>
      <w:pPr>
        <w:pStyle w:val="Normal"/>
        <w:framePr w:w="5586" w:hAnchor="page" w:vAnchor="page" w:x="274" w:y="8331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following provisions (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see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General Instruction A.2. below):</w:t>
      </w:r>
    </w:p>
    <w:p>
      <w:pPr>
        <w:pStyle w:val="Normal"/>
        <w:framePr w:w="13623" w:hAnchor="page" w:vAnchor="page" w:x="274" w:y="8103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Check the appropriate box below if the Form 8-K filing is intended to simultaneously satisfy the filing obligation of the registrant under any of the</w:t>
      </w:r>
    </w:p>
    <w:p>
      <w:pPr>
        <w:pStyle w:val="Normal"/>
        <w:framePr w:w="6271" w:hAnchor="page" w:vAnchor="page" w:x="3652" w:y="7545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(Former Name or Former Address, If Changed Since Last Report)</w:t>
      </w:r>
    </w:p>
    <w:p>
      <w:pPr>
        <w:pStyle w:val="Normal"/>
        <w:framePr w:w="1567" w:hAnchor="page" w:vAnchor="page" w:x="5612" w:y="7259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Not applicable</w:t>
      </w:r>
    </w:p>
    <w:p>
      <w:pPr>
        <w:pStyle w:val="Normal"/>
        <w:framePr w:w="6570" w:hAnchor="page" w:vAnchor="page" w:x="3477" w:y="6774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Registrant’s Telephone Number, Including Area Code: 617-514-7149</w:t>
      </w:r>
    </w:p>
    <w:p>
      <w:pPr>
        <w:pStyle w:val="Normal"/>
        <w:framePr w:w="3956" w:hAnchor="page" w:vAnchor="page" w:x="2702" w:y="6216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(Address of Principal Executive Offices)</w:t>
      </w:r>
    </w:p>
    <w:p>
      <w:pPr>
        <w:pStyle w:val="Normal"/>
        <w:framePr w:w="1237" w:hAnchor="page" w:vAnchor="page" w:x="9623" w:y="6216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(Zip Code)</w:t>
      </w:r>
    </w:p>
    <w:p>
      <w:pPr>
        <w:pStyle w:val="Normal"/>
        <w:framePr w:w="799" w:hAnchor="page" w:vAnchor="page" w:x="9806" w:y="5930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94025</w:t>
      </w:r>
    </w:p>
    <w:p>
      <w:pPr>
        <w:pStyle w:val="Normal"/>
        <w:framePr w:w="4820" w:hAnchor="page" w:vAnchor="page" w:x="401" w:y="5882"/>
        <w:widowControl w:val="off"/>
        <w:autoSpaceDE w:val="off"/>
        <w:autoSpaceDN w:val="off"/>
        <w:spacing w:before="0" w:after="0" w:line="253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2882 Sand Hill Road, Suite 106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,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Menlo Park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,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CA</w:t>
      </w:r>
    </w:p>
    <w:p>
      <w:pPr>
        <w:pStyle w:val="Normal"/>
        <w:framePr w:w="1796" w:hAnchor="page" w:vAnchor="page" w:x="1694" w:y="5330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of Incorporation)</w:t>
      </w:r>
    </w:p>
    <w:p>
      <w:pPr>
        <w:pStyle w:val="Normal"/>
        <w:framePr w:w="1466" w:hAnchor="page" w:vAnchor="page" w:x="5705" w:y="5330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File Number)</w:t>
      </w:r>
    </w:p>
    <w:p>
      <w:pPr>
        <w:pStyle w:val="Normal"/>
        <w:framePr w:w="1929" w:hAnchor="page" w:vAnchor="page" w:x="9335" w:y="5330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Identification No.)</w:t>
      </w:r>
    </w:p>
    <w:p>
      <w:pPr>
        <w:pStyle w:val="Normal"/>
        <w:framePr w:w="2710" w:hAnchor="page" w:vAnchor="page" w:x="1313" w:y="5116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(State or Other Jurisdiction</w:t>
      </w:r>
    </w:p>
    <w:p>
      <w:pPr>
        <w:pStyle w:val="Normal"/>
        <w:framePr w:w="1460" w:hAnchor="page" w:vAnchor="page" w:x="5707" w:y="5116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(Commission</w:t>
      </w:r>
    </w:p>
    <w:p>
      <w:pPr>
        <w:pStyle w:val="Normal"/>
        <w:framePr w:w="1618" w:hAnchor="page" w:vAnchor="page" w:x="9464" w:y="5116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(IRS Employer</w:t>
      </w:r>
    </w:p>
    <w:p>
      <w:pPr>
        <w:pStyle w:val="Normal"/>
        <w:framePr w:w="1104" w:hAnchor="page" w:vAnchor="page" w:x="1982" w:y="4830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Delaware</w:t>
      </w:r>
    </w:p>
    <w:p>
      <w:pPr>
        <w:pStyle w:val="Normal"/>
        <w:framePr w:w="1219" w:hAnchor="page" w:vAnchor="page" w:x="5808" w:y="4830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001-36866</w:t>
      </w:r>
    </w:p>
    <w:p>
      <w:pPr>
        <w:pStyle w:val="Normal"/>
        <w:framePr w:w="1333" w:hAnchor="page" w:vAnchor="page" w:x="9583" w:y="4830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37-1979717</w:t>
      </w:r>
    </w:p>
    <w:p>
      <w:pPr>
        <w:pStyle w:val="Normal"/>
        <w:framePr w:w="5179" w:hAnchor="page" w:vAnchor="page" w:x="4107" w:y="4287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(Exact Name of Registrant as Specified in Its Charter)</w:t>
      </w:r>
    </w:p>
    <w:p>
      <w:pPr>
        <w:pStyle w:val="Normal"/>
        <w:framePr w:w="2596" w:hAnchor="page" w:vAnchor="page" w:x="5184" w:y="4001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Summit Therapeutics Inc.</w:t>
      </w:r>
    </w:p>
    <w:p>
      <w:pPr>
        <w:pStyle w:val="Normal"/>
        <w:framePr w:w="6112" w:hAnchor="page" w:vAnchor="page" w:x="3668" w:y="3501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Date of Report (Date of Earliest Event Reported): June 22, 2022</w:t>
      </w:r>
    </w:p>
    <w:p>
      <w:pPr>
        <w:pStyle w:val="Normal"/>
        <w:framePr w:w="7136" w:hAnchor="page" w:vAnchor="page" w:x="3242" w:y="3057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Pursuant to Section 13 or 15(d) of The Securities Exchange Act of 1934</w:t>
      </w:r>
    </w:p>
    <w:p>
      <w:pPr>
        <w:pStyle w:val="Normal"/>
        <w:framePr w:w="2360" w:hAnchor="page" w:vAnchor="page" w:x="5232" w:y="2843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CURRENT REPORT</w:t>
      </w:r>
    </w:p>
    <w:p>
      <w:pPr>
        <w:pStyle w:val="Normal"/>
        <w:framePr w:w="1351" w:hAnchor="page" w:vAnchor="page" w:x="5652" w:y="2400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FORM 8-K</w:t>
      </w:r>
    </w:p>
    <w:p>
      <w:pPr>
        <w:pStyle w:val="Normal"/>
        <w:framePr w:w="2584" w:hAnchor="page" w:vAnchor="page" w:x="5138" w:y="1971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Washington, D.C. 20549</w:t>
      </w:r>
    </w:p>
    <w:p>
      <w:pPr>
        <w:pStyle w:val="Normal"/>
        <w:framePr w:w="5150" w:hAnchor="page" w:vAnchor="page" w:x="4069" w:y="1743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SECURITIES AND EXCHANGE COMMISSION</w:t>
      </w:r>
    </w:p>
    <w:p>
      <w:pPr>
        <w:pStyle w:val="Normal"/>
        <w:framePr w:w="2017" w:hAnchor="page" w:vAnchor="page" w:x="5375" w:y="1528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UNITED STATES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2.7pt;margin-top:757.8pt;z-index:-16777208;width:586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2.7pt;margin-top:758.5pt;z-index:-16777204;width:586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6.55pt;margin-top:757.8pt;z-index:-16777200;width:2.7pt;height:3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12.7pt;margin-top:757.8pt;z-index:-16777196;width:2.7pt;height:3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374.4pt;margin-top:183.25pt;z-index:-16777192;width:55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05.75pt;margin-top:307.6pt;z-index:-16777188;width:193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18.45pt;margin-top:307.6pt;z-index:-16777184;width:389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05.75pt;margin-top:252.55pt;z-index:-16777180;width:193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214.95pt;margin-top:252.55pt;z-index:-16777176;width:192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18.45pt;margin-top:252.55pt;z-index:-16777172;width:198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18.45pt;margin-top:211.1pt;z-index:-16777168;width:580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383.15pt;margin-top:346.9pt;z-index:-16777164;width:16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397.45pt;margin-top:346.9pt;z-index:-16777160;width:5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400.6pt;margin-top:346.9pt;z-index:-16777156;width:38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18.45pt;margin-top:374.05pt;z-index:-16777152;width:580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365.75pt;margin-top:577.7pt;z-index:-16777148;width:234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597.3pt;margin-top:563.4pt;z-index:-16777144;width:2.7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249.95pt;margin-top:577.7pt;z-index:-16777140;width:118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365.75pt;margin-top:563.4pt;z-index:-16777136;width:2.7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9.15pt;margin-top:577.7pt;z-index:-16777132;width:233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9.15pt;margin-top:563.4pt;z-index:-16777128;width:2.7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249.95pt;margin-top:563.4pt;z-index:-16777124;width:2.7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365.75pt;margin-top:549.1pt;z-index:-16777120;width:234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365.75pt;margin-top:563.4pt;z-index:-16777116;width:234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597.3pt;margin-top:549.1pt;z-index:-16777112;width:2.7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249.95pt;margin-top:549.1pt;z-index:-16777108;width:118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49.95pt;margin-top:563.4pt;z-index:-16777104;width:118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365.75pt;margin-top:549.1pt;z-index:-16777100;width:2.7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9.15pt;margin-top:549.1pt;z-index:-16777096;width:233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9.15pt;margin-top:563.4pt;z-index:-16777092;width:233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19.15pt;margin-top:549.1pt;z-index:-16777088;width:2.7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249.95pt;margin-top:549.1pt;z-index:-16777084;width:2.7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595.85pt;margin-top:549.1pt;z-index:-16777080;width:4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371.45pt;margin-top:549.1pt;z-index:-16777076;width:22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365.75pt;margin-top:549.1pt;z-index:-16777072;width:7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364.3pt;margin-top:549.1pt;z-index:-16777068;width:4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255.7pt;margin-top:549.1pt;z-index:-16777064;width:110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249.95pt;margin-top:549.1pt;z-index:-16777060;width:7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48.55pt;margin-top:549.1pt;z-index:-16777056;width:4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24.15pt;margin-top:549.1pt;z-index:-16777052;width:22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19.15pt;margin-top:549.1pt;z-index:-16777048;width: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</w:p>
    <w:p>
      <w:pPr>
        <w:pStyle w:val="Normal"/>
        <w:framePr w:w="571" w:hAnchor="page" w:vAnchor="page" w:x="1037" w:y="8003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104</w:t>
      </w:r>
    </w:p>
    <w:p>
      <w:pPr>
        <w:pStyle w:val="Normal"/>
        <w:framePr w:w="7566" w:hAnchor="page" w:vAnchor="page" w:x="3595" w:y="8003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Cover Page Interactive Data File (embedded within the Inline XBRL document)</w:t>
      </w:r>
    </w:p>
    <w:p>
      <w:pPr>
        <w:pStyle w:val="Normal"/>
        <w:framePr w:w="628" w:hAnchor="page" w:vAnchor="page" w:x="1037" w:y="7731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99.1</w:t>
      </w:r>
    </w:p>
    <w:p>
      <w:pPr>
        <w:pStyle w:val="Normal"/>
        <w:framePr w:w="3421" w:hAnchor="page" w:vAnchor="page" w:x="3595" w:y="7731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9"/>
          <w:szCs w:val="19"/>
        </w:rPr>
        <w:t>Press Release, dated June 22, 2022</w:t>
      </w:r>
    </w:p>
    <w:p>
      <w:pPr>
        <w:pStyle w:val="Normal"/>
        <w:framePr w:w="1822" w:hAnchor="page" w:vAnchor="page" w:x="1037" w:y="7460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Exhibit Number</w:t>
      </w:r>
    </w:p>
    <w:p>
      <w:pPr>
        <w:pStyle w:val="Normal"/>
        <w:framePr w:w="1358" w:hAnchor="page" w:vAnchor="page" w:x="3595" w:y="7460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Description</w:t>
      </w:r>
    </w:p>
    <w:p>
      <w:pPr>
        <w:pStyle w:val="Normal"/>
        <w:framePr w:w="1314" w:hAnchor="page" w:vAnchor="page" w:x="274" w:y="6916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(d) Exhibits</w:t>
      </w:r>
    </w:p>
    <w:p>
      <w:pPr>
        <w:pStyle w:val="Normal"/>
        <w:framePr w:w="1142" w:hAnchor="page" w:vAnchor="page" w:x="293" w:y="6330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Item 9.01</w:t>
      </w:r>
    </w:p>
    <w:p>
      <w:pPr>
        <w:pStyle w:val="Normal"/>
        <w:framePr w:w="3632" w:hAnchor="page" w:vAnchor="page" w:x="2080" w:y="6345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Financial Statements and Exhibits.</w:t>
      </w:r>
    </w:p>
    <w:p>
      <w:pPr>
        <w:pStyle w:val="Normal"/>
        <w:framePr w:w="274" w:hAnchor="page" w:vAnchor="page" w:x="274" w:y="6059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 </w:t>
      </w:r>
    </w:p>
    <w:p>
      <w:pPr>
        <w:pStyle w:val="Normal"/>
        <w:framePr w:w="12897" w:hAnchor="page" w:vAnchor="page" w:x="960" w:y="5587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 copy of the press release related to the matters set forth herein is attached hereto as Exhibit 99.1 and is incorporated herein by reference.</w:t>
      </w:r>
    </w:p>
    <w:p>
      <w:pPr>
        <w:pStyle w:val="Normal"/>
        <w:framePr w:w="10105" w:hAnchor="page" w:vAnchor="page" w:x="274" w:y="5116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have not indicated a minimum level of participation or made any formal binding commitment to participate.</w:t>
      </w:r>
    </w:p>
    <w:p>
      <w:pPr>
        <w:pStyle w:val="Normal"/>
        <w:framePr w:w="14245" w:hAnchor="page" w:vAnchor="page" w:x="274" w:y="4916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Company’s issued and outstanding Common Stock prior to this rights offering, have each indicated that they intend to participate in the offering, but</w:t>
      </w:r>
    </w:p>
    <w:p>
      <w:pPr>
        <w:pStyle w:val="Normal"/>
        <w:framePr w:w="14246" w:hAnchor="page" w:vAnchor="page" w:x="274" w:y="4701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offering, and Dr. Maky Zanganeh, the Company’s Chief Operating Officer, a member of the Board, and the beneficial owner of approximately 6.5% of</w:t>
      </w:r>
    </w:p>
    <w:p>
      <w:pPr>
        <w:pStyle w:val="Normal"/>
        <w:framePr w:w="14249" w:hAnchor="page" w:vAnchor="page" w:x="274" w:y="4501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Chief Executive Officer, and the beneficial owner of approximately 70% of the Company’s issued and outstanding Common Stock prior to this rights</w:t>
      </w:r>
    </w:p>
    <w:p>
      <w:pPr>
        <w:pStyle w:val="Normal"/>
        <w:framePr w:w="14252" w:hAnchor="page" w:vAnchor="page" w:x="274" w:y="4301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will be subject to certain terms and conditions to be set forth in the offering documents. Robert W. Duggan, the Company’s Chairman of the Board and</w:t>
      </w:r>
    </w:p>
    <w:p>
      <w:pPr>
        <w:pStyle w:val="Normal"/>
        <w:framePr w:w="14251" w:hAnchor="page" w:vAnchor="page" w:x="274" w:y="4087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purchase additional shares of Common Stock that remain unsubscribed at the expiration of the offering. The availability of the over-subscription right</w:t>
      </w:r>
    </w:p>
    <w:p>
      <w:pPr>
        <w:pStyle w:val="Normal"/>
        <w:framePr w:w="13434" w:hAnchor="page" w:vAnchor="page" w:x="960" w:y="3886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rights offering will include an over-subscription right to permit each rights holder that exercises its basic subscription rights in full to</w:t>
      </w:r>
    </w:p>
    <w:p>
      <w:pPr>
        <w:pStyle w:val="Normal"/>
        <w:framePr w:w="1017" w:hAnchor="page" w:vAnchor="page" w:x="274" w:y="3429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offering.</w:t>
      </w:r>
    </w:p>
    <w:p>
      <w:pPr>
        <w:pStyle w:val="Normal"/>
        <w:framePr w:w="14253" w:hAnchor="page" w:vAnchor="page" w:x="274" w:y="3229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that the rights offering is fully subscribed, the Company expects to receive gross proceeds of up to $100 million, less expenses related to the rights</w:t>
      </w:r>
    </w:p>
    <w:p>
      <w:pPr>
        <w:pStyle w:val="Normal"/>
        <w:framePr w:w="14247" w:hAnchor="page" w:vAnchor="page" w:x="274" w:y="3015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weighted-average price of the Common Stock for the five consecutive trading days through and including the expiration date of the offering. Assuming</w:t>
      </w:r>
    </w:p>
    <w:p>
      <w:pPr>
        <w:pStyle w:val="Normal"/>
        <w:framePr w:w="14249" w:hAnchor="page" w:vAnchor="page" w:x="274" w:y="2814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Stock”), at a price per share equal to the lesser of (i) $1.08 per share, the closing price of the Common Stock on June 22, 2022 or (ii) the volume</w:t>
      </w:r>
    </w:p>
    <w:p>
      <w:pPr>
        <w:pStyle w:val="Normal"/>
        <w:framePr w:w="14255" w:hAnchor="page" w:vAnchor="page" w:x="274" w:y="2614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through the distribution of non-transferable subscription rights to purchase shares of the Company’s common stock, par value $0.01 (the “Common</w:t>
      </w:r>
    </w:p>
    <w:p>
      <w:pPr>
        <w:pStyle w:val="Normal"/>
        <w:framePr w:w="14249" w:hAnchor="page" w:vAnchor="page" w:x="274" w:y="2414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Company (the “Board”) of a rights offering to its stockholders of record as of the close of business on July 5, 2022. The rights offering will be made</w:t>
      </w:r>
    </w:p>
    <w:p>
      <w:pPr>
        <w:pStyle w:val="Normal"/>
        <w:framePr w:w="13428" w:hAnchor="page" w:vAnchor="page" w:x="960" w:y="2200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On June 22, 2022, Summit Therapeutics Inc. (the “Company”) issued a press release announcing the approval of the Board of Directors of the</w:t>
      </w:r>
    </w:p>
    <w:p>
      <w:pPr>
        <w:pStyle w:val="Normal"/>
        <w:framePr w:w="1142" w:hAnchor="page" w:vAnchor="page" w:x="293" w:y="1871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Item 8.01</w:t>
      </w:r>
    </w:p>
    <w:p>
      <w:pPr>
        <w:pStyle w:val="Normal"/>
        <w:framePr w:w="1587" w:hAnchor="page" w:vAnchor="page" w:x="2080" w:y="1885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Other Events.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7pt;margin-top:1pt;z-index:-16777044;width:598pt;height:1005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12.7pt;margin-top:516.25pt;z-index:-16777040;width:586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12.7pt;margin-top:516.95pt;z-index:-16777036;width:586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596.55pt;margin-top:516.25pt;z-index:-16777032;width:2.7pt;height:3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12.7pt;margin-top:516.25pt;z-index:-16777028;width:2.7pt;height:3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12.7pt;margin-top:84.6pt;z-index:-16777024;width:586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50.85pt;margin-top:381.2pt;z-index:-16777020;width:68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178.75pt;margin-top:381.2pt;z-index:-16777016;width:4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178.75pt;margin-top:394.75pt;z-index:-16777012;width:135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178.75pt;margin-top:394.75pt;z-index:-16777008;width:135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</w:p>
    <w:p>
      <w:pPr>
        <w:pStyle w:val="Normal"/>
        <w:framePr w:w="2357" w:hAnchor="page" w:vAnchor="page" w:x="6718" w:y="3715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Chief Financial Officer</w:t>
      </w:r>
    </w:p>
    <w:p>
      <w:pPr>
        <w:pStyle w:val="Normal"/>
        <w:framePr w:w="2056" w:hAnchor="page" w:vAnchor="page" w:x="472" w:y="3429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Date: June 22, 2022</w:t>
      </w:r>
    </w:p>
    <w:p>
      <w:pPr>
        <w:pStyle w:val="Normal"/>
        <w:framePr w:w="558" w:hAnchor="page" w:vAnchor="page" w:x="5660" w:y="3429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By:</w:t>
      </w:r>
    </w:p>
    <w:p>
      <w:pPr>
        <w:pStyle w:val="Normal"/>
        <w:framePr w:w="1891" w:hAnchor="page" w:vAnchor="page" w:x="6718" w:y="3429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/s/ Ankur Dhingra</w:t>
      </w:r>
    </w:p>
    <w:p>
      <w:pPr>
        <w:pStyle w:val="Normal"/>
        <w:framePr w:w="3587" w:hAnchor="page" w:vAnchor="page" w:x="5660" w:y="2614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SUMMIT THERAPEUTICS INC.</w:t>
      </w:r>
    </w:p>
    <w:p>
      <w:pPr>
        <w:pStyle w:val="Normal"/>
        <w:framePr w:w="3802" w:hAnchor="page" w:vAnchor="page" w:x="274" w:y="2114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undersigned, hereunto duly authorized.</w:t>
      </w:r>
    </w:p>
    <w:p>
      <w:pPr>
        <w:pStyle w:val="Normal"/>
        <w:framePr w:w="13280" w:hAnchor="page" w:vAnchor="page" w:x="960" w:y="1885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Pursuant to the requirements of the Securities Exchange Act of 1934, the registrant has duly caused this report to be signed on its behalf by the</w:t>
      </w:r>
    </w:p>
    <w:p>
      <w:pPr>
        <w:pStyle w:val="Normal"/>
        <w:framePr w:w="1570" w:hAnchor="page" w:vAnchor="page" w:x="5561" w:y="1414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SIGNATURE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7pt;margin-top:1pt;z-index:-16777004;width:598pt;height:1005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330.75pt;margin-top:182.5pt;z-index:-16777000;width:268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</w:p>
    <w:p>
      <w:pPr>
        <w:pStyle w:val="Normal"/>
        <w:framePr w:w="355" w:hAnchor="page" w:vAnchor="page" w:x="11860" w:y="11830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1</w:t>
      </w:r>
    </w:p>
    <w:p>
      <w:pPr>
        <w:pStyle w:val="Normal"/>
        <w:framePr w:w="12702" w:hAnchor="page" w:vAnchor="page" w:x="274" w:y="10973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products in a rapid, cost-efficient manner, and to engage commercialization and/or development partners when appropriate.</w:t>
      </w:r>
    </w:p>
    <w:p>
      <w:pPr>
        <w:pStyle w:val="Normal"/>
        <w:framePr w:w="14241" w:hAnchor="page" w:vAnchor="page" w:x="274" w:y="10716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identify and control promising product candidates based on exceptional scientific development and administrational expertise, develop our</w:t>
      </w:r>
    </w:p>
    <w:p>
      <w:pPr>
        <w:pStyle w:val="Normal"/>
        <w:framePr w:w="14242" w:hAnchor="page" w:vAnchor="page" w:x="274" w:y="10458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medicinal therapy intended to: improve quality of life, increase potential duration of life, and resolve serious medical healthcare needs. To</w:t>
      </w:r>
    </w:p>
    <w:p>
      <w:pPr>
        <w:pStyle w:val="Normal"/>
        <w:framePr w:w="14256" w:hAnchor="page" w:vAnchor="page" w:x="274" w:y="10187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enrollment, regulatory submission and approval, and successful commercialization of patient, physician, caregiver, and societal-friendly</w:t>
      </w:r>
    </w:p>
    <w:p>
      <w:pPr>
        <w:pStyle w:val="Normal"/>
        <w:framePr w:w="14241" w:hAnchor="page" w:vAnchor="page" w:x="274" w:y="9929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To  build  a  viable,  long-lasting  health  care  organization  that  assumes  full  responsibility  for  designing,  developing,  trial  execution  and</w:t>
      </w:r>
    </w:p>
    <w:p>
      <w:pPr>
        <w:pStyle w:val="Normal"/>
        <w:framePr w:w="4699" w:hAnchor="page" w:vAnchor="page" w:x="274" w:y="9672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9"/>
          <w:szCs w:val="19"/>
        </w:rPr>
      </w:pPr>
      <w:r>
        <w:rPr>
          <w:rFonts w:ascii="Arial-BoldMT" w:hAnsi="Arial-BoldMT" w:fareast="Arial-BoldMT" w:cs="Arial-BoldMT"/>
          <w:color w:val="000000"/>
          <w:w w:val="100"/>
          <w:sz w:val="19"/>
          <w:szCs w:val="19"/>
        </w:rPr>
        <w:t>Summit Therapeutics’ Mission Statement</w:t>
      </w:r>
    </w:p>
    <w:p>
      <w:pPr>
        <w:pStyle w:val="Normal"/>
        <w:framePr w:w="1295" w:hAnchor="page" w:vAnchor="page" w:x="274" w:y="9158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statement.</w:t>
      </w:r>
    </w:p>
    <w:p>
      <w:pPr>
        <w:pStyle w:val="Normal"/>
        <w:framePr w:w="14242" w:hAnchor="page" w:vAnchor="page" w:x="274" w:y="8886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terms of the rights offering to be filed with the SEC. Any offer will be made only by means of a prospectus forming part of the registration</w:t>
      </w:r>
    </w:p>
    <w:p>
      <w:pPr>
        <w:pStyle w:val="Normal"/>
        <w:framePr w:w="14244" w:hAnchor="page" w:vAnchor="page" w:x="274" w:y="8629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registration statement on Form S-3, which became effective on October 15, 2020, and a prospectus supplement containing the detailed</w:t>
      </w:r>
    </w:p>
    <w:p>
      <w:pPr>
        <w:pStyle w:val="Normal"/>
        <w:framePr w:w="13979" w:hAnchor="page" w:vAnchor="page" w:x="274" w:y="8372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qualification under the securities laws of any such state or jurisdiction. The rights offering will be made pursuant to the Company’</w:t>
      </w:r>
    </w:p>
    <w:p>
      <w:pPr>
        <w:pStyle w:val="Normal"/>
        <w:framePr w:w="907" w:hAnchor="page" w:vAnchor="page" w:x="11391" w:y="8372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s shelf</w:t>
      </w:r>
    </w:p>
    <w:p>
      <w:pPr>
        <w:pStyle w:val="Normal"/>
        <w:framePr w:w="14257" w:hAnchor="page" w:vAnchor="page" w:x="274" w:y="8100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these  securities  in  any  state  or  other  jurisdiction  in  which  such  offer,  solicitation,  or  sale  would  be  unlawful  prior  to  registration  or</w:t>
      </w:r>
    </w:p>
    <w:p>
      <w:pPr>
        <w:pStyle w:val="Normal"/>
        <w:framePr w:w="14254" w:hAnchor="page" w:vAnchor="page" w:x="274" w:y="7843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This press release does not constitute an offer to sell or the solicitation of an offer to buy these securities, nor will there be any sale of</w:t>
      </w:r>
    </w:p>
    <w:p>
      <w:pPr>
        <w:pStyle w:val="Normal"/>
        <w:framePr w:w="7492" w:hAnchor="page" w:vAnchor="page" w:x="274" w:y="7571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may be obtained at the website maintained by the SEC at www.sec.gov.</w:t>
      </w:r>
    </w:p>
    <w:p>
      <w:pPr>
        <w:pStyle w:val="Normal"/>
        <w:framePr w:w="3610" w:hAnchor="page" w:vAnchor="page" w:x="274" w:y="7314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supplement to the Company’</w:t>
      </w:r>
    </w:p>
    <w:p>
      <w:pPr>
        <w:pStyle w:val="Normal"/>
        <w:framePr w:w="11276" w:hAnchor="page" w:vAnchor="page" w:x="2751" w:y="7314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s effective shelf registration statement on Form S-3. When available, a copy of the prospectus supplement</w:t>
      </w:r>
    </w:p>
    <w:p>
      <w:pPr>
        <w:pStyle w:val="Normal"/>
        <w:framePr w:w="14251" w:hAnchor="page" w:vAnchor="page" w:x="274" w:y="7057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The Company intends to register the rights offering with the Securities and Exchange Commission (the “SEC”) by filing a prospectus</w:t>
      </w:r>
    </w:p>
    <w:p>
      <w:pPr>
        <w:pStyle w:val="Normal"/>
        <w:framePr w:w="12815" w:hAnchor="page" w:vAnchor="page" w:x="274" w:y="6785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rights offering, but have not indicated a minimum level of participation or made any formal binding commitment to participate.</w:t>
      </w:r>
    </w:p>
    <w:p>
      <w:pPr>
        <w:pStyle w:val="Normal"/>
        <w:framePr w:w="4396" w:hAnchor="page" w:vAnchor="page" w:x="274" w:y="6528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approximately 6.5% of the Company’</w:t>
      </w:r>
    </w:p>
    <w:p>
      <w:pPr>
        <w:pStyle w:val="Normal"/>
        <w:framePr w:w="10500" w:hAnchor="page" w:vAnchor="page" w:x="3406" w:y="6528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s Common Stock prior to this rights offering, have each indicated that they intend to participate in the</w:t>
      </w:r>
    </w:p>
    <w:p>
      <w:pPr>
        <w:pStyle w:val="Normal"/>
        <w:framePr w:w="14251" w:hAnchor="page" w:vAnchor="page" w:x="274" w:y="6256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this rights offering, and Dr. Maky Zanganeh, Chief Operating Officer, a member of the Board of Directors, and the beneficial owner of</w:t>
      </w:r>
    </w:p>
    <w:p>
      <w:pPr>
        <w:pStyle w:val="Normal"/>
        <w:framePr w:w="12132" w:hAnchor="page" w:vAnchor="page" w:x="274" w:y="5999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Robert W. Duggan, Chairman, Chief Executive Officer, and the beneficial owner of approximately 70% of Summit’</w:t>
      </w:r>
    </w:p>
    <w:p>
      <w:pPr>
        <w:pStyle w:val="Normal"/>
        <w:framePr w:w="2758" w:hAnchor="page" w:vAnchor="page" w:x="9852" w:y="5999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s Common Stock prior to</w:t>
      </w:r>
    </w:p>
    <w:p>
      <w:pPr>
        <w:pStyle w:val="Normal"/>
        <w:framePr w:w="10770" w:hAnchor="page" w:vAnchor="page" w:x="274" w:y="5742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subscription right will be subject to certain terms and conditions to be set forth in the offering documents.</w:t>
      </w:r>
    </w:p>
    <w:p>
      <w:pPr>
        <w:pStyle w:val="Normal"/>
        <w:framePr w:w="14249" w:hAnchor="page" w:vAnchor="page" w:x="274" w:y="5470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purchase  additional  shares  of  Common  Stock  that  remain  unsubscribed  at  the  expiration  of  the  offering.  The  availability  of  the  over-</w:t>
      </w:r>
    </w:p>
    <w:p>
      <w:pPr>
        <w:pStyle w:val="Normal"/>
        <w:framePr w:w="14247" w:hAnchor="page" w:vAnchor="page" w:x="274" w:y="5213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The rights offering will include an over-subscription right to permit each rights holder that exercises its basic subscription rights in full to</w:t>
      </w:r>
    </w:p>
    <w:p>
      <w:pPr>
        <w:pStyle w:val="Normal"/>
        <w:framePr w:w="5929" w:hAnchor="page" w:vAnchor="page" w:x="274" w:y="4941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$100 million, less expenses related to the rights offering.</w:t>
      </w:r>
    </w:p>
    <w:p>
      <w:pPr>
        <w:pStyle w:val="Normal"/>
        <w:framePr w:w="14249" w:hAnchor="page" w:vAnchor="page" w:x="274" w:y="4684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contemplated to be August 5, 2022. Assuming that the rights offering is fully subscribed, the Company will receive gross proceeds of up to</w:t>
      </w:r>
    </w:p>
    <w:p>
      <w:pPr>
        <w:pStyle w:val="Normal"/>
        <w:framePr w:w="14257" w:hAnchor="page" w:vAnchor="page" w:x="274" w:y="4427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average price of the Common Stock for the five consecutive trading days through and including the expiration date of the offering, currently</w:t>
      </w:r>
    </w:p>
    <w:p>
      <w:pPr>
        <w:pStyle w:val="Normal"/>
        <w:framePr w:w="14254" w:hAnchor="page" w:vAnchor="page" w:x="274" w:y="4155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share equal to the lesser of (i) $1.08 per share, the closing price of the Common Stock on June 22, 2022, or (ii) the volume weighted-</w:t>
      </w:r>
    </w:p>
    <w:p>
      <w:pPr>
        <w:pStyle w:val="Normal"/>
        <w:framePr w:w="14253" w:hAnchor="page" w:vAnchor="page" w:x="274" w:y="3898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holders of Common Stock as of the Record Date non-transferable subscription rights to purchase shares of Common Stock at a price per</w:t>
      </w:r>
    </w:p>
    <w:p>
      <w:pPr>
        <w:pStyle w:val="Normal"/>
        <w:framePr w:w="14243" w:hAnchor="page" w:vAnchor="page" w:x="274" w:y="3626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$0.01 (the “Common Stock”) as of the close of the market on July 5, 2022 (the “Record Date”). The Company intends to distribute to all</w:t>
      </w:r>
    </w:p>
    <w:p>
      <w:pPr>
        <w:pStyle w:val="Normal"/>
        <w:framePr w:w="1664" w:hAnchor="page" w:vAnchor="page" w:x="274" w:y="3369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Company’</w:t>
      </w:r>
    </w:p>
    <w:p>
      <w:pPr>
        <w:pStyle w:val="Normal"/>
        <w:framePr w:w="10882" w:hAnchor="page" w:vAnchor="page" w:x="1128" w:y="3369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s Board of Directors has approved a rights offering available to all holders of record of the Company’</w:t>
      </w:r>
    </w:p>
    <w:p>
      <w:pPr>
        <w:pStyle w:val="Normal"/>
        <w:framePr w:w="2976" w:hAnchor="page" w:vAnchor="page" w:x="9665" w:y="3369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s common stock, par value</w:t>
      </w:r>
    </w:p>
    <w:p>
      <w:pPr>
        <w:pStyle w:val="Normal"/>
        <w:framePr w:w="14249" w:hAnchor="page" w:vAnchor="page" w:x="274" w:y="3112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-BoldMT" w:hAnsi="Arial-BoldMT" w:fareast="Arial-BoldMT" w:cs="Arial-BoldMT"/>
          <w:color w:val="000000"/>
          <w:w w:val="100"/>
          <w:sz w:val="19"/>
          <w:szCs w:val="19"/>
        </w:rPr>
        <w:t xml:space="preserve">Menlo Park, CA, June 22, 2022 </w:t>
      </w:r>
      <w:r>
        <w:rPr>
          <w:rFonts w:ascii="ArialMT" w:hAnsi="ArialMT" w:fareast="ArialMT" w:cs="ArialMT"/>
          <w:color w:val="000000"/>
          <w:w w:val="100"/>
          <w:sz w:val="19"/>
          <w:szCs w:val="19"/>
        </w:rPr>
        <w:t>- Summit Therapeutics Inc. (NASDAQ: SMMT) (“Summit” or the “Company”) today announced that the</w:t>
      </w:r>
    </w:p>
    <w:p>
      <w:pPr>
        <w:pStyle w:val="Normal"/>
        <w:framePr w:w="8918" w:hAnchor="page" w:vAnchor="page" w:x="2201" w:y="2500"/>
        <w:widowControl w:val="off"/>
        <w:autoSpaceDE w:val="off"/>
        <w:autoSpaceDN w:val="off"/>
        <w:spacing w:before="0" w:after="0" w:line="29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7"/>
          <w:szCs w:val="27"/>
        </w:rPr>
      </w:pPr>
      <w:r>
        <w:rPr>
          <w:rFonts w:ascii="Arial-BoldMT" w:hAnsi="Arial-BoldMT" w:fareast="Arial-BoldMT" w:cs="Arial-BoldMT"/>
          <w:color w:val="000000"/>
          <w:w w:val="100"/>
          <w:sz w:val="27"/>
          <w:szCs w:val="27"/>
        </w:rPr>
        <w:t>Summit Therapeutics Announces $100 Million Rights Offering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4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7pt;margin-top:1pt;z-index:-16776996;width:598pt;height:1005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12.7pt;margin-top:619.15pt;z-index:-16776992;width:586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12.7pt;margin-top:619.85pt;z-index:-16776988;width:586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596.55pt;margin-top:619.15pt;z-index:-16776984;width:2.7pt;height:3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12.7pt;margin-top:619.15pt;z-index:-16776980;width:2.7pt;height:3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13.7pt;margin-top:14.85pt;z-index:-16776976;width:107.9pt;height:70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</w:p>
    <w:p>
      <w:pPr>
        <w:pStyle w:val="Normal"/>
        <w:framePr w:w="355" w:hAnchor="page" w:vAnchor="page" w:x="11860" w:y="13746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2</w:t>
      </w:r>
    </w:p>
    <w:p>
      <w:pPr>
        <w:pStyle w:val="Normal"/>
        <w:framePr w:w="5145" w:hAnchor="page" w:vAnchor="page" w:x="274" w:y="13145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looking statements included in this press release</w:t>
      </w:r>
    </w:p>
    <w:p>
      <w:pPr>
        <w:pStyle w:val="Normal"/>
        <w:framePr w:w="14251" w:hAnchor="page" w:vAnchor="page" w:x="274" w:y="12874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ridinilazole. Accordingly, readers should not place undue reliance on forward-looking statements or information. In addition, any forward-</w:t>
      </w:r>
    </w:p>
    <w:p>
      <w:pPr>
        <w:pStyle w:val="Normal"/>
        <w:framePr w:w="14251" w:hAnchor="page" w:vAnchor="page" w:x="274" w:y="12616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uncertainty to our commercialization efforts, as well as to affect the likelihood of the successful completion of clinical development of</w:t>
      </w:r>
    </w:p>
    <w:p>
      <w:pPr>
        <w:pStyle w:val="Normal"/>
        <w:framePr w:w="14257" w:hAnchor="page" w:vAnchor="page" w:x="274" w:y="12359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Securities  and  Exchange  Commission.  Any  change  to  our  ongoing  trials  could  cause  delays,  affect  our  future  expenses,  and  add</w:t>
      </w:r>
    </w:p>
    <w:p>
      <w:pPr>
        <w:pStyle w:val="Normal"/>
        <w:framePr w:w="14251" w:hAnchor="page" w:vAnchor="page" w:x="274" w:y="12088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capital expenditure requirements and other factors discussed in the "Risk Factors" section of filings that the Company makes with the</w:t>
      </w:r>
    </w:p>
    <w:p>
      <w:pPr>
        <w:pStyle w:val="Normal"/>
        <w:framePr w:w="8753" w:hAnchor="page" w:vAnchor="page" w:x="274" w:y="11830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contracts and funding awards, availability of funding sufficient for the Company’</w:t>
      </w:r>
    </w:p>
    <w:p>
      <w:pPr>
        <w:pStyle w:val="Normal"/>
        <w:framePr w:w="6132" w:hAnchor="page" w:vAnchor="page" w:x="7037" w:y="11830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s foreseeable and unforeseeable operating expenses and</w:t>
      </w:r>
    </w:p>
    <w:p>
      <w:pPr>
        <w:pStyle w:val="Normal"/>
        <w:framePr w:w="14253" w:hAnchor="page" w:vAnchor="page" w:x="274" w:y="11573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of,  and/or  collaborations  with,  other  entities  occur,  expectations  for  regulatory  approvals,  laws  and  regulations  affecting  government</w:t>
      </w:r>
    </w:p>
    <w:p>
      <w:pPr>
        <w:pStyle w:val="Normal"/>
        <w:framePr w:w="5863" w:hAnchor="page" w:vAnchor="page" w:x="274" w:y="11302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development opportunities to expand the Company’</w:t>
      </w:r>
    </w:p>
    <w:p>
      <w:pPr>
        <w:pStyle w:val="Normal"/>
        <w:framePr w:w="9020" w:hAnchor="page" w:vAnchor="page" w:x="4628" w:y="11302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s pipeline of drug candidates, including without limitation, through potential acquisitions</w:t>
      </w:r>
    </w:p>
    <w:p>
      <w:pPr>
        <w:pStyle w:val="Normal"/>
        <w:framePr w:w="14256" w:hAnchor="page" w:vAnchor="page" w:x="274" w:y="11044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whether  results  of  early  clinical  trials  or  preclinical  studies  will  be  indicative  of  the  results  of  later  clinical  trials,  whether  business</w:t>
      </w:r>
    </w:p>
    <w:p>
      <w:pPr>
        <w:pStyle w:val="Normal"/>
        <w:framePr w:w="14256" w:hAnchor="page" w:vAnchor="page" w:x="274" w:y="10773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status of our clinical trials and operations, whether preliminary results from a clinical trial will be predictive of the final results of that trial or</w:t>
      </w:r>
    </w:p>
    <w:p>
      <w:pPr>
        <w:pStyle w:val="Normal"/>
        <w:framePr w:w="14245" w:hAnchor="page" w:vAnchor="page" w:x="274" w:y="10515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of such trials, and their success, and global public health crises, including the coronavirus COVID-19 outbreak, that may affect timing and</w:t>
      </w:r>
    </w:p>
    <w:p>
      <w:pPr>
        <w:pStyle w:val="Normal"/>
        <w:framePr w:w="14253" w:hAnchor="page" w:vAnchor="page" w:x="274" w:y="10258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uncertainties inherent in the initiation of future clinical trials, availability and timing of data from ongoing and future clinical trials, the results</w:t>
      </w:r>
    </w:p>
    <w:p>
      <w:pPr>
        <w:pStyle w:val="Normal"/>
        <w:framePr w:w="14243" w:hAnchor="page" w:vAnchor="page" w:x="274" w:y="9987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evaluating  ridinilazole,   the  outcome  of   discussions  with   regulatory  authorities,  including   the  Food   and  Drug  Administration,   the</w:t>
      </w:r>
    </w:p>
    <w:p>
      <w:pPr>
        <w:pStyle w:val="Normal"/>
        <w:framePr w:w="14246" w:hAnchor="page" w:vAnchor="page" w:x="274" w:y="9729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including  the  results  of  our  evaluation  of  the  underlying  data  in  connection  with  the  topline  results  of  our  Phase  III  Ri-CoDIFy  study</w:t>
      </w:r>
    </w:p>
    <w:p>
      <w:pPr>
        <w:pStyle w:val="Normal"/>
        <w:framePr w:w="14242" w:hAnchor="page" w:vAnchor="page" w:x="274" w:y="9458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Actual  results  may  differ  materially  from  those  indicated  by  such  forward-looking  statements  as  a  result  of  various  important  factors,</w:t>
      </w:r>
    </w:p>
    <w:p>
      <w:pPr>
        <w:pStyle w:val="Normal"/>
        <w:framePr w:w="14249" w:hAnchor="page" w:vAnchor="page" w:x="274" w:y="9201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similar expressions, constitute forward-looking statements within the meaning of The Private Securities Litigation Reform Act of 1995.</w:t>
      </w:r>
    </w:p>
    <w:p>
      <w:pPr>
        <w:pStyle w:val="Normal"/>
        <w:framePr w:w="14254" w:hAnchor="page" w:vAnchor="page" w:x="274" w:y="8943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"believe," "continue," "could," "estimate," "expect," "intend," "may," "plan," "potential," "predict," "project," "should," "target," "would," and</w:t>
      </w:r>
    </w:p>
    <w:p>
      <w:pPr>
        <w:pStyle w:val="Normal"/>
        <w:framePr w:w="3485" w:hAnchor="page" w:vAnchor="page" w:x="274" w:y="8672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pandemic on the Company’</w:t>
      </w:r>
    </w:p>
    <w:p>
      <w:pPr>
        <w:pStyle w:val="Normal"/>
        <w:framePr w:w="11395" w:hAnchor="page" w:vAnchor="page" w:x="2646" w:y="8672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s operations and clinical trials, potential acquisitions and other statements containing the words "anticipate,"</w:t>
      </w:r>
    </w:p>
    <w:p>
      <w:pPr>
        <w:pStyle w:val="Normal"/>
        <w:framePr w:w="14245" w:hAnchor="page" w:vAnchor="page" w:x="274" w:y="8414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availability  of  data  from  clinical  trials,  the  potential  submission  of  applications  for  marketing  approvals,  the  impact  of  the  COVID-19</w:t>
      </w:r>
    </w:p>
    <w:p>
      <w:pPr>
        <w:pStyle w:val="Normal"/>
        <w:framePr w:w="14256" w:hAnchor="page" w:vAnchor="page" w:x="274" w:y="8143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product  candidates,  the  potential  commercialization  of   the  Company’s  product  candidates,  the  timing  of  initiation,  completion  and</w:t>
      </w:r>
    </w:p>
    <w:p>
      <w:pPr>
        <w:pStyle w:val="Normal"/>
        <w:framePr w:w="8144" w:hAnchor="page" w:vAnchor="page" w:x="274" w:y="7886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statements about the clinical and preclinical development of the Company’</w:t>
      </w:r>
    </w:p>
    <w:p>
      <w:pPr>
        <w:pStyle w:val="Normal"/>
        <w:framePr w:w="7039" w:hAnchor="page" w:vAnchor="page" w:x="6529" w:y="7886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s product candidates, the therapeutic potential of the Company’</w:t>
      </w:r>
    </w:p>
    <w:p>
      <w:pPr>
        <w:pStyle w:val="Normal"/>
        <w:framePr w:w="342" w:hAnchor="page" w:vAnchor="page" w:x="11863" w:y="7886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s</w:t>
      </w:r>
    </w:p>
    <w:p>
      <w:pPr>
        <w:pStyle w:val="Normal"/>
        <w:framePr w:w="14253" w:hAnchor="page" w:vAnchor="page" w:x="274" w:y="7628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Any  statements  in  this  press  release  about  the  Company’s  future  expectations,  plans  and  prospects,  including  but  not  limited  to,</w:t>
      </w:r>
    </w:p>
    <w:p>
      <w:pPr>
        <w:pStyle w:val="Normal"/>
        <w:framePr w:w="4216" w:hAnchor="page" w:vAnchor="page" w:x="274" w:y="7371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9"/>
          <w:szCs w:val="19"/>
        </w:rPr>
      </w:pPr>
      <w:r>
        <w:rPr>
          <w:rFonts w:ascii="Arial-BoldMT" w:hAnsi="Arial-BoldMT" w:fareast="Arial-BoldMT" w:cs="Arial-BoldMT"/>
          <w:color w:val="000000"/>
          <w:w w:val="100"/>
          <w:sz w:val="19"/>
          <w:szCs w:val="19"/>
        </w:rPr>
        <w:t>Summit Forward-looking Statements</w:t>
      </w:r>
    </w:p>
    <w:p>
      <w:pPr>
        <w:pStyle w:val="Normal"/>
        <w:framePr w:w="2899" w:hAnchor="page" w:vAnchor="page" w:x="274" w:y="6857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investors@summitplc.com</w:t>
      </w:r>
    </w:p>
    <w:p>
      <w:pPr>
        <w:pStyle w:val="Normal"/>
        <w:framePr w:w="2032" w:hAnchor="page" w:vAnchor="page" w:x="274" w:y="6585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General Inquiries:</w:t>
      </w:r>
    </w:p>
    <w:p>
      <w:pPr>
        <w:pStyle w:val="Normal"/>
        <w:framePr w:w="3407" w:hAnchor="page" w:vAnchor="page" w:x="274" w:y="6070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david.gancarz@summitplc.com</w:t>
      </w:r>
    </w:p>
    <w:p>
      <w:pPr>
        <w:pStyle w:val="Normal"/>
        <w:framePr w:w="5539" w:hAnchor="page" w:vAnchor="page" w:x="274" w:y="5799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Head of Stakeholder Relations &amp; Corporate Strategy</w:t>
      </w:r>
    </w:p>
    <w:p>
      <w:pPr>
        <w:pStyle w:val="Normal"/>
        <w:framePr w:w="1689" w:hAnchor="page" w:vAnchor="page" w:x="274" w:y="5542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Dave Gancarz</w:t>
      </w:r>
    </w:p>
    <w:p>
      <w:pPr>
        <w:pStyle w:val="Normal"/>
        <w:framePr w:w="4102" w:hAnchor="page" w:vAnchor="page" w:x="274" w:y="5327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9"/>
          <w:szCs w:val="19"/>
        </w:rPr>
      </w:pPr>
      <w:r>
        <w:rPr>
          <w:rFonts w:ascii="Arial-BoldMT" w:hAnsi="Arial-BoldMT" w:fareast="Arial-BoldMT" w:cs="Arial-BoldMT"/>
          <w:color w:val="000000"/>
          <w:w w:val="100"/>
          <w:sz w:val="19"/>
          <w:szCs w:val="19"/>
        </w:rPr>
        <w:t>Contact Summit Investor Relations:</w:t>
      </w:r>
    </w:p>
    <w:p>
      <w:pPr>
        <w:pStyle w:val="Normal"/>
        <w:framePr w:w="10445" w:hAnchor="page" w:vAnchor="page" w:x="274" w:y="4841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For more information, please visit https://www.summittxinc.com and follow us on Twitter @summitplc.</w:t>
      </w:r>
    </w:p>
    <w:p>
      <w:pPr>
        <w:pStyle w:val="Normal"/>
        <w:framePr w:w="8610" w:hAnchor="page" w:vAnchor="page" w:x="274" w:y="4327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Park, California, and we have additional offices in Oxford, UK, and Cambridge, UK.</w:t>
      </w:r>
    </w:p>
    <w:p>
      <w:pPr>
        <w:pStyle w:val="Normal"/>
        <w:framePr w:w="11162" w:hAnchor="page" w:vAnchor="page" w:x="274" w:y="4055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Summit was founded in 2003 and our shares are listed on the Nasdaq Global Market (symbol ‘SMMT’</w:t>
      </w:r>
    </w:p>
    <w:p>
      <w:pPr>
        <w:pStyle w:val="Normal"/>
        <w:framePr w:w="3724" w:hAnchor="page" w:vAnchor="page" w:x="9047" w:y="4055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). We are headquartered in Menlo</w:t>
      </w:r>
    </w:p>
    <w:p>
      <w:pPr>
        <w:pStyle w:val="Normal"/>
        <w:framePr w:w="3276" w:hAnchor="page" w:vAnchor="page" w:x="274" w:y="3798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9"/>
          <w:szCs w:val="19"/>
        </w:rPr>
      </w:pPr>
      <w:r>
        <w:rPr>
          <w:rFonts w:ascii="Arial-BoldMT" w:hAnsi="Arial-BoldMT" w:fareast="Arial-BoldMT" w:cs="Arial-BoldMT"/>
          <w:color w:val="000000"/>
          <w:w w:val="100"/>
          <w:sz w:val="19"/>
          <w:szCs w:val="19"/>
        </w:rPr>
        <w:t>About Summit Therapeutics</w:t>
      </w:r>
    </w:p>
    <w:p>
      <w:pPr>
        <w:pStyle w:val="Normal"/>
        <w:framePr w:w="13397" w:hAnchor="page" w:vAnchor="page" w:x="274" w:y="3283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continuous expansion of knowledge, ability, capability, and well-being for all involved stakeholders and highly-valued shareholders.</w:t>
      </w:r>
    </w:p>
    <w:p>
      <w:pPr>
        <w:pStyle w:val="Normal"/>
        <w:framePr w:w="14250" w:hAnchor="page" w:vAnchor="page" w:x="274" w:y="3026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places  Summit  in  a  well-deserved,  top  market  share,  leadership  position.  Team  Summit  assumes  full  responsibility  for  stimulating</w:t>
      </w:r>
    </w:p>
    <w:p>
      <w:pPr>
        <w:pStyle w:val="Normal"/>
        <w:framePr w:w="14247" w:hAnchor="page" w:vAnchor="page" w:x="274" w:y="2755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knowledge to this mission. Team Summit exists to pose, strategize, and execute a path forward in medicinal therapeutic health care that</w:t>
      </w:r>
    </w:p>
    <w:p>
      <w:pPr>
        <w:pStyle w:val="Normal"/>
        <w:framePr w:w="14251" w:hAnchor="page" w:vAnchor="page" w:x="274" w:y="2497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We accomplish this by building a team of world class professional scientists and business administrators that apply their experience and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5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7pt;margin-top:1pt;z-index:-16776972;width:598pt;height:1005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2.7pt;margin-top:714.9pt;z-index:-16776968;width:586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2.7pt;margin-top:715.65pt;z-index:-16776964;width:586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596.55pt;margin-top:714.9pt;z-index:-16776960;width:2.7pt;height:3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2.7pt;margin-top:714.9pt;z-index:-16776956;width:2.7pt;height:3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3.7pt;margin-top:14.85pt;z-index:-16776952;width:107.9pt;height:70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</w:p>
    <w:p>
      <w:pPr>
        <w:pStyle w:val="Normal"/>
        <w:framePr w:w="355" w:hAnchor="page" w:vAnchor="page" w:x="11860" w:y="3612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3</w:t>
      </w:r>
    </w:p>
    <w:p>
      <w:pPr>
        <w:pStyle w:val="Normal"/>
        <w:framePr w:w="1664" w:hAnchor="page" w:vAnchor="page" w:x="274" w:y="3026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press release.</w:t>
      </w:r>
    </w:p>
    <w:p>
      <w:pPr>
        <w:pStyle w:val="Normal"/>
        <w:framePr w:w="14247" w:hAnchor="page" w:vAnchor="page" w:x="274" w:y="2755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of any subsequent date. The Company specifically disclaims any obligation to update any forward-looking statements included in this</w:t>
      </w:r>
    </w:p>
    <w:p>
      <w:pPr>
        <w:pStyle w:val="Normal"/>
        <w:framePr w:w="3089" w:hAnchor="page" w:vAnchor="page" w:x="274" w:y="2497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represent the Company’</w:t>
      </w:r>
    </w:p>
    <w:p>
      <w:pPr>
        <w:pStyle w:val="Normal"/>
        <w:framePr w:w="11133" w:hAnchor="page" w:vAnchor="page" w:x="2316" w:y="2497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s views only as of the date of this release and should not be relied upon as representing the Company’</w:t>
      </w:r>
    </w:p>
    <w:p>
      <w:pPr>
        <w:pStyle w:val="Normal"/>
        <w:framePr w:w="1297" w:hAnchor="page" w:vAnchor="page" w:x="11061" w:y="2497"/>
        <w:widowControl w:val="off"/>
        <w:autoSpaceDE w:val="off"/>
        <w:autoSpaceDN w:val="off"/>
        <w:spacing w:before="0" w:after="0" w:line="21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9"/>
          <w:szCs w:val="19"/>
        </w:rPr>
      </w:pPr>
      <w:r>
        <w:rPr>
          <w:rFonts w:ascii="ArialMT" w:hAnsi="ArialMT" w:fareast="ArialMT" w:cs="ArialMT"/>
          <w:color w:val="000000"/>
          <w:w w:val="100"/>
          <w:sz w:val="19"/>
          <w:szCs w:val="19"/>
        </w:rPr>
        <w:t>s views as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7pt;margin-top:1pt;z-index:-16776948;width:598pt;height:209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13.7pt;margin-top:14.85pt;z-index:-16776944;width:107.9pt;height:70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</w:p>
    <w:sectPr>
      <w:pgSz w:w="12240" w:h="20160"/>
      <w:pgMar w:top="400" w:right="400" w:bottom="400" w:left="400" w:header="720" w:footer="720"/>
      <w:pgNumType w:start="6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0b244c23-0000-0000-0000-000000000000}"/>
  </w:font>
  <w:font w:name="DejaVuSans">
    <w:panose-1>"020b0603030804020204"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be00ae22-0000-0000-0000-000000000000}"/>
  </w:font>
  <w:font w:name="TimesNewRomanPS-ItalicMT">
    <w:panose-1>"02020503050405090304"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b520054c-0000-0000-0000-000000000000}"/>
  </w:font>
  <w:font w:name="TimesNewRomanPS-BoldMT">
    <w:panose-1>"02020803070505020304"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caef09bc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5" w:fontKey="{90148000-0000-0000-0000-000000000000}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6" w:fontKey="{b4f9ba2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1" Target="media/image11.png" Type="http://schemas.openxmlformats.org/officeDocument/2006/relationships/image"/><Relationship Id="rId12" Target="media/image12.png" Type="http://schemas.openxmlformats.org/officeDocument/2006/relationships/image"/><Relationship Id="rId13" Target="media/image13.png" Type="http://schemas.openxmlformats.org/officeDocument/2006/relationships/image"/><Relationship Id="rId14" Target="media/image14.png" Type="http://schemas.openxmlformats.org/officeDocument/2006/relationships/image"/><Relationship Id="rId15" Target="media/image15.png" Type="http://schemas.openxmlformats.org/officeDocument/2006/relationships/image"/><Relationship Id="rId16" Target="media/image16.png" Type="http://schemas.openxmlformats.org/officeDocument/2006/relationships/image"/><Relationship Id="rId17" Target="media/image17.png" Type="http://schemas.openxmlformats.org/officeDocument/2006/relationships/image"/><Relationship Id="rId18" Target="media/image18.png" Type="http://schemas.openxmlformats.org/officeDocument/2006/relationships/image"/><Relationship Id="rId19" Target="media/image1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1" Target="media/image21.png" Type="http://schemas.openxmlformats.org/officeDocument/2006/relationships/image"/><Relationship Id="rId22" Target="media/image22.png" Type="http://schemas.openxmlformats.org/officeDocument/2006/relationships/image"/><Relationship Id="rId23" Target="media/image23.png" Type="http://schemas.openxmlformats.org/officeDocument/2006/relationships/image"/><Relationship Id="rId24" Target="media/image24.png" Type="http://schemas.openxmlformats.org/officeDocument/2006/relationships/image"/><Relationship Id="rId25" Target="media/image25.png" Type="http://schemas.openxmlformats.org/officeDocument/2006/relationships/image"/><Relationship Id="rId26" Target="media/image26.png" Type="http://schemas.openxmlformats.org/officeDocument/2006/relationships/image"/><Relationship Id="rId27" Target="media/image27.png" Type="http://schemas.openxmlformats.org/officeDocument/2006/relationships/image"/><Relationship Id="rId28" Target="media/image28.png" Type="http://schemas.openxmlformats.org/officeDocument/2006/relationships/image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styles.xml" Type="http://schemas.openxmlformats.org/officeDocument/2006/relationships/styles"/><Relationship Id="rId7" Target="media/image7.png" Type="http://schemas.openxmlformats.org/officeDocument/2006/relationships/image"/><Relationship Id="rId70" Target="fontTable.xml" Type="http://schemas.openxmlformats.org/officeDocument/2006/relationships/fontTable"/><Relationship Id="rId71" Target="settings.xml" Type="http://schemas.openxmlformats.org/officeDocument/2006/relationships/settings"/><Relationship Id="rId72" Target="webSettings.xml" Type="http://schemas.openxmlformats.org/officeDocument/2006/relationships/webSettings"/><Relationship Id="rId8" Target="media/image8.png" Type="http://schemas.openxmlformats.org/officeDocument/2006/relationships/image"/><Relationship Id="rId9" Target="media/image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Relationship Id="rId5" Target="fonts/font5.odttf" Type="http://schemas.openxmlformats.org/officeDocument/2006/relationships/font"/><Relationship Id="rId6" Target="fonts/font6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6</Pages>
  <Words>1899</Words>
  <Characters>10722</Characters>
  <Application>e-iceblue</Application>
  <DocSecurity>0</DocSecurity>
  <Lines>166</Lines>
  <Paragraphs>166</Paragraphs>
  <ScaleCrop>false</ScaleCrop>
  <Company>e-iceblue</Company>
  <LinksUpToDate>false</LinksUpToDate>
  <CharactersWithSpaces>12691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2022-06-22T21:17:20Z</dcterms:created>
  <dc:creator>root</dc:creator>
  <cp:lastModifiedBy>root</cp:lastModifiedBy>
  <dcterms:modified xsi:type="dcterms:W3CDTF">2022-06-22T21:17:20Z</dcterms:modified>
  <cp:revision>1</cp:revision>
</cp:coreProperties>
</file>